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709"/>
        <w:gridCol w:w="4709"/>
      </w:tblGrid>
      <w:tr>
        <w:tc>
          <w:tcPr>
            <w:tcW w:type="dxa" w:w="4608"/>
            <w:tcBorders>
              <w:top w:val="none"/>
              <w:left w:val="none"/>
              <w:bottom w:val="none"/>
              <w:right w:val="none"/>
            </w:tcBorders>
          </w:tcPr>
          <w:p>
            <w:pPr>
              <w:spacing w:after="40"/>
              <w:jc w:val="center"/>
            </w:pPr>
            <w:r>
              <w:rPr>
                <w:rFonts w:ascii="Times New Roman" w:hAnsi="Times New Roman"/>
                <w:sz w:val="24"/>
              </w:rPr>
              <w:t>BỘ CÔNG THƯƠNG</w:t>
              <w:br/>
            </w:r>
          </w:p>
          <w:p>
            <w:pPr>
              <w:spacing w:after="120"/>
              <w:jc w:val="center"/>
            </w:pPr>
            <w:r>
              <w:rPr>
                <w:rFonts w:ascii="Times New Roman" w:hAnsi="Times New Roman"/>
                <w:b/>
                <w:sz w:val="24"/>
              </w:rPr>
              <w:t>Số: 2238/QĐ-BCT</w:t>
            </w:r>
          </w:p>
        </w:tc>
        <w:tc>
          <w:tcPr>
            <w:tcW w:type="dxa" w:w="5040"/>
            <w:tcBorders>
              <w:top w:val="none"/>
              <w:left w:val="none"/>
              <w:bottom w:val="none"/>
              <w:right w:val="none"/>
            </w:tcBorders>
          </w:tcPr>
          <w:p>
            <w:pPr>
              <w:spacing w:after="40"/>
              <w:jc w:val="center"/>
            </w:pPr>
            <w:r>
              <w:rPr>
                <w:rFonts w:ascii="Times New Roman" w:hAnsi="Times New Roman"/>
                <w:b/>
                <w:sz w:val="24"/>
              </w:rPr>
              <w:t>CỘNG HOÀ XÃ HỘI CHỦ NGHĨA VIỆT NAM</w:t>
              <w:br/>
            </w:r>
            <w:r>
              <w:rPr>
                <w:rFonts w:ascii="Times New Roman" w:hAnsi="Times New Roman"/>
                <w:b/>
                <w:sz w:val="26"/>
              </w:rPr>
              <w:t>Độc lập - Tự do - Hạnh phúc</w:t>
            </w:r>
          </w:p>
          <w:p>
            <w:pPr>
              <w:spacing w:after="120"/>
              <w:jc w:val="center"/>
            </w:pPr>
            <w:r>
              <w:rPr>
                <w:rFonts w:ascii="Times New Roman" w:hAnsi="Times New Roman"/>
                <w:i/>
                <w:sz w:val="26"/>
              </w:rPr>
              <w:t>Hà Nội, ngày 15 tháng 9 năm 2026</w:t>
            </w:r>
          </w:p>
        </w:tc>
      </w:tr>
    </w:tbl>
    <w:p>
      <w:pPr>
        <w:spacing w:before="240" w:after="120" w:line="276" w:lineRule="auto"/>
        <w:jc w:val="center"/>
      </w:pPr>
      <w:r>
        <w:rPr>
          <w:rFonts w:ascii="Times New Roman" w:hAnsi="Times New Roman"/>
          <w:b/>
          <w:i w:val="0"/>
          <w:sz w:val="28"/>
        </w:rPr>
        <w:t>QUYẾT ĐỊNH</w:t>
      </w:r>
    </w:p>
    <w:p>
      <w:pPr>
        <w:spacing w:before="0" w:after="240" w:line="276" w:lineRule="auto"/>
        <w:jc w:val="center"/>
      </w:pPr>
      <w:r>
        <w:rPr>
          <w:rFonts w:ascii="Times New Roman" w:hAnsi="Times New Roman"/>
          <w:b/>
          <w:i w:val="0"/>
          <w:sz w:val="26"/>
        </w:rPr>
        <w:t>Quy định chức năng, nhiệm vụ, quyền hạn và cơ cấu tổ chức của</w:t>
        <w:br/>
        <w:t>Cục Địa chất và Khoáng sản Việt Nam</w:t>
      </w:r>
    </w:p>
    <w:p>
      <w:pPr>
        <w:spacing w:before="120" w:after="240" w:line="276" w:lineRule="auto"/>
        <w:jc w:val="center"/>
      </w:pPr>
      <w:r>
        <w:rPr>
          <w:rFonts w:ascii="Times New Roman" w:hAnsi="Times New Roman"/>
          <w:b/>
          <w:i w:val="0"/>
          <w:sz w:val="26"/>
        </w:rPr>
        <w:t>BỘ TRƯỞNG BỘ CÔNG THƯƠNG</w:t>
      </w:r>
    </w:p>
    <w:p>
      <w:pPr>
        <w:spacing w:before="0" w:after="80" w:line="276" w:lineRule="auto"/>
        <w:ind w:firstLine="576"/>
        <w:jc w:val="left"/>
      </w:pPr>
      <w:r>
        <w:rPr>
          <w:rFonts w:ascii="Times New Roman" w:hAnsi="Times New Roman"/>
          <w:b w:val="0"/>
          <w:i/>
          <w:sz w:val="26"/>
        </w:rPr>
        <w:t>Căn cứ Nghị định số 351/2026/NĐ-CP ngày 11 tháng 9 năm 2026 của Chính phủ quy định chức năng, nhiệm vụ, quyền hạn và cơ cấu tổ chức của Bộ Công Thương;</w:t>
      </w:r>
    </w:p>
    <w:p>
      <w:pPr>
        <w:spacing w:before="0" w:after="80" w:line="276" w:lineRule="auto"/>
        <w:ind w:firstLine="576"/>
        <w:jc w:val="left"/>
      </w:pPr>
      <w:r>
        <w:rPr>
          <w:rFonts w:ascii="Times New Roman" w:hAnsi="Times New Roman"/>
          <w:b w:val="0"/>
          <w:i/>
          <w:sz w:val="26"/>
        </w:rPr>
        <w:t>Căn cứ Nghị quyết số 71-NQ/ĐUB ngày 11 tháng 9 năm 2026 của Ban Thường vụ Đảng ủy Bộ Công Thương;</w:t>
      </w:r>
    </w:p>
    <w:p>
      <w:pPr>
        <w:spacing w:before="0" w:after="240" w:line="276" w:lineRule="auto"/>
        <w:ind w:firstLine="576"/>
        <w:jc w:val="left"/>
      </w:pPr>
      <w:r>
        <w:rPr>
          <w:rFonts w:ascii="Times New Roman" w:hAnsi="Times New Roman"/>
          <w:b w:val="0"/>
          <w:i/>
          <w:sz w:val="26"/>
        </w:rPr>
        <w:t>Theo đề nghị của Cục trưởng Cục Địa chất và Khoáng sản Việt Nam và Vụ trưởng Vụ Tổ chức cán bộ.</w:t>
      </w:r>
    </w:p>
    <w:p>
      <w:pPr>
        <w:spacing w:before="120" w:after="240" w:line="276" w:lineRule="auto"/>
        <w:jc w:val="center"/>
      </w:pPr>
      <w:r>
        <w:rPr>
          <w:rFonts w:ascii="Times New Roman" w:hAnsi="Times New Roman"/>
          <w:b/>
          <w:i w:val="0"/>
          <w:sz w:val="26"/>
        </w:rPr>
        <w:t>QUYẾT ĐỊNH:</w:t>
      </w:r>
    </w:p>
    <w:p>
      <w:pPr>
        <w:spacing w:before="0" w:after="120" w:line="276" w:lineRule="auto"/>
        <w:jc w:val="left"/>
      </w:pPr>
      <w:r>
        <w:rPr>
          <w:rFonts w:ascii="Times New Roman" w:hAnsi="Times New Roman"/>
          <w:b/>
          <w:i w:val="0"/>
          <w:sz w:val="26"/>
        </w:rPr>
        <w:t>Điều 1. Vị trí và chức năng</w:t>
      </w:r>
    </w:p>
    <w:p>
      <w:pPr>
        <w:spacing w:before="0" w:after="120" w:line="276" w:lineRule="auto"/>
        <w:ind w:firstLine="576"/>
        <w:jc w:val="left"/>
      </w:pPr>
      <w:r>
        <w:rPr>
          <w:rFonts w:ascii="Times New Roman" w:hAnsi="Times New Roman"/>
          <w:b w:val="0"/>
          <w:i w:val="0"/>
          <w:sz w:val="26"/>
        </w:rPr>
        <w:t>1. Cục Địa chất và Khoáng sản Việt Nam là tổ chức trực thuộc Bộ Công Thương, có chức năng tham mưu, giúp Bộ trưởng quản lý nhà nước và tổ chức thực thi pháp luật về địa chất, khoáng sản trong phạm vi cả nước; thực hiện điều tra cơ bản địa chất, điều tra địa chất về khoáng sản; quản lý tài nguyên địa chất, tài nguyên khoáng sản, quy hoạch và hoạt động khoáng sản; thực hiện nhiệm vụ quản lý nhà nước và giải quyết thủ tục hành chính về địa chất, khoáng sản thuộc thẩm quyền của Bộ trưởng; điều phối quốc gia về khoáng sản làm vật liệu xây dựng thông thường; làm đầu mối chuyên môn của Bộ về khoáng sản chiến lược, quan trọng, đất hiếm, an ninh tài nguyên, an ninh nguyên liệu khoáng sản, cơ sở dữ liệu và kinh tế địa chất, khoáng sản; tổ chức thực hiện các dịch vụ công thuộc lĩnh vực quản lý theo quy định của pháp luật.</w:t>
      </w:r>
    </w:p>
    <w:p>
      <w:pPr>
        <w:spacing w:before="0" w:after="80" w:line="276" w:lineRule="auto"/>
        <w:ind w:firstLine="576"/>
        <w:jc w:val="left"/>
      </w:pPr>
      <w:r>
        <w:rPr>
          <w:rFonts w:ascii="Times New Roman" w:hAnsi="Times New Roman"/>
          <w:b w:val="0"/>
          <w:i w:val="0"/>
          <w:sz w:val="26"/>
        </w:rPr>
        <w:t>2. Cục Địa chất và Khoáng sản Việt Nam có tư cách pháp nhân, có con dấu và tài khoản riêng theo quy định của pháp luật; kinh phí hoạt động do ngân sách nhà nước cấp và từ các nguồn khác theo quy định của Nhà nước;</w:t>
      </w:r>
    </w:p>
    <w:p>
      <w:pPr>
        <w:spacing w:before="0" w:after="240" w:line="276" w:lineRule="auto"/>
        <w:ind w:firstLine="576"/>
        <w:jc w:val="left"/>
      </w:pPr>
      <w:r>
        <w:rPr>
          <w:rFonts w:ascii="Times New Roman" w:hAnsi="Times New Roman"/>
          <w:b w:val="0"/>
          <w:i w:val="0"/>
          <w:sz w:val="26"/>
        </w:rPr>
        <w:t>Trụ sở chính tại thành phố Hà Nội.</w:t>
      </w:r>
    </w:p>
    <w:p>
      <w:pPr>
        <w:spacing w:before="0" w:after="120" w:line="276" w:lineRule="auto"/>
        <w:jc w:val="left"/>
      </w:pPr>
      <w:r>
        <w:rPr>
          <w:rFonts w:ascii="Times New Roman" w:hAnsi="Times New Roman"/>
          <w:b/>
          <w:i w:val="0"/>
          <w:sz w:val="26"/>
        </w:rPr>
        <w:t>Điều 2. Nhiệm vụ và quyền hạn</w:t>
      </w:r>
    </w:p>
    <w:p>
      <w:pPr>
        <w:spacing w:before="0" w:after="80" w:line="276" w:lineRule="auto"/>
        <w:ind w:firstLine="576"/>
        <w:jc w:val="left"/>
      </w:pPr>
      <w:r>
        <w:rPr>
          <w:rFonts w:ascii="Times New Roman" w:hAnsi="Times New Roman"/>
          <w:b w:val="0"/>
          <w:i w:val="0"/>
          <w:sz w:val="26"/>
        </w:rPr>
        <w:t>1. Tham mưu xây dựng thể chế, chính sách, chiến lược, quy hoạch và trình Bộ trưởng các nội dung sau đây:</w:t>
      </w:r>
    </w:p>
    <w:p>
      <w:pPr>
        <w:spacing w:before="0" w:after="80" w:line="276" w:lineRule="auto"/>
        <w:ind w:firstLine="576"/>
        <w:jc w:val="left"/>
      </w:pPr>
      <w:r>
        <w:rPr>
          <w:rFonts w:ascii="Times New Roman" w:hAnsi="Times New Roman"/>
          <w:b w:val="0"/>
          <w:i w:val="0"/>
          <w:sz w:val="26"/>
        </w:rPr>
        <w:t>a) Dự án luật, dự thảo nghị quyết của Quốc hội; dự án pháp lệnh, dự thảo nghị quyết của Ủy ban Thường vụ Quốc hội; dự thảo nghị định, nghị quyết của Chính phủ; dự thảo quyết định của Thủ tướng Chính phủ; dự thảo thông tư, quyết định, chỉ thị của Bộ trưởng và các văn bản khác về địa chất, khoáng sản;</w:t>
      </w:r>
    </w:p>
    <w:p>
      <w:pPr>
        <w:spacing w:before="0" w:after="80" w:line="276" w:lineRule="auto"/>
        <w:ind w:firstLine="576"/>
        <w:jc w:val="left"/>
      </w:pPr>
      <w:r>
        <w:rPr>
          <w:rFonts w:ascii="Times New Roman" w:hAnsi="Times New Roman"/>
          <w:b w:val="0"/>
          <w:i w:val="0"/>
          <w:sz w:val="26"/>
        </w:rPr>
        <w:t>b) Chiến lược địa chất, khoáng sản và công nghiệp khai khoáng; chiến lược quốc gia về đất hiếm để trình Thủ tướng Chính phủ phê duyệt; quy hoạch điều tra cơ bản địa chất, khoáng sản, quy hoạch khoáng sản nhóm I, quy hoạch khoáng sản nhóm II; điều chỉnh quy hoạch và kế hoạch thực hiện quy hoạch; cơ chế điều phối quốc gia về khoáng sản làm vật liệu xây dựng thông thường; chương trình, đề án, dự án, nhiệm vụ về địa chất, khoáng sản thuộc thẩm quyền của Bộ Công Thương;</w:t>
      </w:r>
    </w:p>
    <w:p>
      <w:pPr>
        <w:spacing w:before="0" w:after="80" w:line="276" w:lineRule="auto"/>
        <w:ind w:firstLine="576"/>
        <w:jc w:val="left"/>
      </w:pPr>
      <w:r>
        <w:rPr>
          <w:rFonts w:ascii="Times New Roman" w:hAnsi="Times New Roman"/>
          <w:b w:val="0"/>
          <w:i w:val="0"/>
          <w:sz w:val="26"/>
        </w:rPr>
        <w:t>c) Dự thảo tiêu chuẩn quốc gia để đề nghị công bố theo quy định của pháp luật về tiêu chuẩn và quy chuẩn kỹ thuật; quy chuẩn kỹ thuật quốc gia, quy định kỹ thuật, quy trình chuyên môn, định mức kinh tế - kỹ thuật và đơn giá về địa chất, khoáng sản thuộc phạm vi quản lý của Cục;</w:t>
      </w:r>
    </w:p>
    <w:p>
      <w:pPr>
        <w:spacing w:before="0" w:after="80" w:line="276" w:lineRule="auto"/>
        <w:ind w:firstLine="576"/>
        <w:jc w:val="left"/>
      </w:pPr>
      <w:r>
        <w:rPr>
          <w:rFonts w:ascii="Times New Roman" w:hAnsi="Times New Roman"/>
          <w:b w:val="0"/>
          <w:i w:val="0"/>
          <w:sz w:val="26"/>
        </w:rPr>
        <w:t>d) Hồ sơ khoanh định, phê duyệt, điều chỉnh khu vực dự trữ khoáng sản quốc gia; quyết định thời gian dự trữ khoáng sản, gia hạn thời gian dự trữ khoáng sản; hồ sơ khoanh định, phê duyệt, điều chỉnh, công bố khu vực không đấu giá quyền khai thác khoáng sản thuộc thẩm quyền cấp giấy phép của Bộ trưởng; hồ sơ khoanh định, công bố khu vực có khoáng sản phân tán, nhỏ lẻ, khu vực có di sản địa chất (trừ khu vực thiên nhiên được xác định là danh lam thắng cảnh theo quy định của pháp luật về di sản văn hóa), công viên địa chất; danh mục khoáng sản chiến lược, quan trọng;</w:t>
      </w:r>
    </w:p>
    <w:p>
      <w:pPr>
        <w:spacing w:before="0" w:after="80" w:line="276" w:lineRule="auto"/>
        <w:ind w:firstLine="576"/>
        <w:jc w:val="left"/>
      </w:pPr>
      <w:r>
        <w:rPr>
          <w:rFonts w:ascii="Times New Roman" w:hAnsi="Times New Roman"/>
          <w:b w:val="0"/>
          <w:i w:val="0"/>
          <w:sz w:val="26"/>
        </w:rPr>
        <w:t>đ) Ý kiến đối với hồ sơ, quy hoạch, kế hoạch có nội dung liên quan đến địa chất, khoáng sản theo quy định; hồ sơ về địa chất, khoáng sản thuộc trường hợp pháp luật quy định phải xin ý kiến hoặc chấp thuận của Thủ tướng Chính phủ;</w:t>
      </w:r>
    </w:p>
    <w:p>
      <w:pPr>
        <w:spacing w:before="0" w:after="80" w:line="276" w:lineRule="auto"/>
        <w:ind w:firstLine="576"/>
        <w:jc w:val="left"/>
      </w:pPr>
      <w:r>
        <w:rPr>
          <w:rFonts w:ascii="Times New Roman" w:hAnsi="Times New Roman"/>
          <w:b w:val="0"/>
          <w:i w:val="0"/>
          <w:sz w:val="26"/>
        </w:rPr>
        <w:t>e) Rà soát, đề xuất cắt giảm, đơn giản hóa thủ tục hành chính, điều kiện kinh doanh; công bố, cập nhật và kiểm soát thủ tục hành chính thuộc phạm vi quản lý;</w:t>
      </w:r>
    </w:p>
    <w:p>
      <w:pPr>
        <w:spacing w:before="0" w:after="120" w:line="276" w:lineRule="auto"/>
        <w:ind w:firstLine="576"/>
        <w:jc w:val="left"/>
      </w:pPr>
      <w:r>
        <w:rPr>
          <w:rFonts w:ascii="Times New Roman" w:hAnsi="Times New Roman"/>
          <w:b w:val="0"/>
          <w:i w:val="0"/>
          <w:sz w:val="26"/>
        </w:rPr>
        <w:t>g) Tổ chức thực hiện, hướng dẫn, theo dõi và kiểm tra việc thực hiện văn bản quy phạm pháp luật, cơ chế, chính sách, chiến lược, quy hoạch, kế hoạch về địa chất, khoáng sản thuộc phạm vi quản lý của Cục theo phân công của Bộ trưởng.</w:t>
      </w:r>
    </w:p>
    <w:p>
      <w:pPr>
        <w:spacing w:before="0" w:after="80" w:line="276" w:lineRule="auto"/>
        <w:ind w:firstLine="576"/>
        <w:jc w:val="left"/>
      </w:pPr>
      <w:r>
        <w:rPr>
          <w:rFonts w:ascii="Times New Roman" w:hAnsi="Times New Roman"/>
          <w:b w:val="0"/>
          <w:i w:val="0"/>
          <w:sz w:val="26"/>
        </w:rPr>
        <w:t>2. Về điều tra cơ bản địa chất, điều tra địa chất về khoáng sản:</w:t>
      </w:r>
    </w:p>
    <w:p>
      <w:pPr>
        <w:spacing w:before="0" w:after="80" w:line="276" w:lineRule="auto"/>
        <w:ind w:firstLine="576"/>
        <w:jc w:val="left"/>
      </w:pPr>
      <w:r>
        <w:rPr>
          <w:rFonts w:ascii="Times New Roman" w:hAnsi="Times New Roman"/>
          <w:b w:val="0"/>
          <w:i w:val="0"/>
          <w:sz w:val="26"/>
        </w:rPr>
        <w:t>a) Tổ chức thực hiện đề án, dự án, nhiệm vụ điều tra cơ bản địa chất, điều tra địa chất về khoáng sản; tổ chức thẩm định, nghiệm thu và trình Bộ trưởng phê duyệt đề án, dự án, nhiệm vụ và báo cáo kết quả điều tra hoặc phê duyệt theo phân cấp, phân công của Bộ trưởng;</w:t>
      </w:r>
    </w:p>
    <w:p>
      <w:pPr>
        <w:spacing w:before="0" w:after="80" w:line="276" w:lineRule="auto"/>
        <w:ind w:firstLine="576"/>
        <w:jc w:val="left"/>
      </w:pPr>
      <w:r>
        <w:rPr>
          <w:rFonts w:ascii="Times New Roman" w:hAnsi="Times New Roman"/>
          <w:b w:val="0"/>
          <w:i w:val="0"/>
          <w:sz w:val="26"/>
        </w:rPr>
        <w:t>b) Tổ chức điều tra, đánh giá tài nguyên địa chất, di chỉ địa chất, tai biến địa chất, di sản địa chất, địa chất môi trường, địa chất công trình, địa chất đô thị, địa chất biển, tài nguyên địa nhiệt, tài nguyên vị thế, cấu trúc địa chất tàng trữ, không gian lòng đất và điều kiện địa chất khác theo quy định của pháp luật; cung cấp, chia sẻ thông tin, dữ liệu địa chất phục vụ lập quy hoạch, đầu tư xây dựng, phát triển hạ tầng, phòng ngừa và giảm thiểu rủi ro địa chất;</w:t>
      </w:r>
    </w:p>
    <w:p>
      <w:pPr>
        <w:spacing w:before="0" w:after="80" w:line="276" w:lineRule="auto"/>
        <w:ind w:firstLine="576"/>
        <w:jc w:val="left"/>
      </w:pPr>
      <w:r>
        <w:rPr>
          <w:rFonts w:ascii="Times New Roman" w:hAnsi="Times New Roman"/>
          <w:b w:val="0"/>
          <w:i w:val="0"/>
          <w:sz w:val="26"/>
        </w:rPr>
        <w:t>c) Tổ chức điều tra, đánh giá khoáng sản chiến lược, quan trọng, đất hiếm và khoáng sản phục vụ phát triển công nghiệp, chuyển dịch năng lượng, quốc phòng, an ninh và công nghệ cao;</w:t>
      </w:r>
    </w:p>
    <w:p>
      <w:pPr>
        <w:spacing w:before="0" w:after="80" w:line="276" w:lineRule="auto"/>
        <w:ind w:firstLine="576"/>
        <w:jc w:val="left"/>
      </w:pPr>
      <w:r>
        <w:rPr>
          <w:rFonts w:ascii="Times New Roman" w:hAnsi="Times New Roman"/>
          <w:b w:val="0"/>
          <w:i w:val="0"/>
          <w:sz w:val="26"/>
        </w:rPr>
        <w:t>d) Tổ chức thực hiện đăng ký hoạt động điều tra cơ bản địa chất, điều tra địa chất về khoáng sản; hướng dẫn, kiểm tra việc thực hiện đăng ký theo quy định;</w:t>
      </w:r>
    </w:p>
    <w:p>
      <w:pPr>
        <w:spacing w:before="0" w:after="80" w:line="276" w:lineRule="auto"/>
        <w:ind w:firstLine="576"/>
        <w:jc w:val="left"/>
      </w:pPr>
      <w:r>
        <w:rPr>
          <w:rFonts w:ascii="Times New Roman" w:hAnsi="Times New Roman"/>
          <w:b w:val="0"/>
          <w:i w:val="0"/>
          <w:sz w:val="26"/>
        </w:rPr>
        <w:t>đ) Trình Bộ trưởng công bố hoặc công bố theo phân công của Bộ trưởng kết quả điều tra cơ bản địa chất, điều tra địa chất về khoáng sản; chuyển giao, quản lý, khai thác, sử dụng kết quả điều tra;</w:t>
      </w:r>
    </w:p>
    <w:p>
      <w:pPr>
        <w:spacing w:before="0" w:after="120" w:line="276" w:lineRule="auto"/>
        <w:ind w:firstLine="576"/>
        <w:jc w:val="left"/>
      </w:pPr>
      <w:r>
        <w:rPr>
          <w:rFonts w:ascii="Times New Roman" w:hAnsi="Times New Roman"/>
          <w:b w:val="0"/>
          <w:i w:val="0"/>
          <w:sz w:val="26"/>
        </w:rPr>
        <w:t>e) Trình Bộ trưởng danh mục đề án điều tra địa chất về khoáng sản khuyến khích tổ chức, cá nhân tham gia điều tra; đề án thăm dò khoáng sản bằng nguồn vốn ngân sách nhà nước; tổ chức tiếp nhận, quản lý, thẩm định và sử dụng kết quả điều tra do tổ chức, cá nhân tham gia thực hiện.</w:t>
      </w:r>
    </w:p>
    <w:p>
      <w:pPr>
        <w:spacing w:before="0" w:after="80" w:line="276" w:lineRule="auto"/>
        <w:ind w:firstLine="576"/>
        <w:jc w:val="left"/>
      </w:pPr>
      <w:r>
        <w:rPr>
          <w:rFonts w:ascii="Times New Roman" w:hAnsi="Times New Roman"/>
          <w:b w:val="0"/>
          <w:i w:val="0"/>
          <w:sz w:val="26"/>
        </w:rPr>
        <w:t>3. Về tài nguyên địa chất, tài nguyên và trữ lượng khoáng sản:</w:t>
      </w:r>
    </w:p>
    <w:p>
      <w:pPr>
        <w:spacing w:before="0" w:after="80" w:line="276" w:lineRule="auto"/>
        <w:ind w:firstLine="576"/>
        <w:jc w:val="left"/>
      </w:pPr>
      <w:r>
        <w:rPr>
          <w:rFonts w:ascii="Times New Roman" w:hAnsi="Times New Roman"/>
          <w:b w:val="0"/>
          <w:i w:val="0"/>
          <w:sz w:val="26"/>
        </w:rPr>
        <w:t>a) Tổng hợp kết quả thống kê, kiểm kê tài nguyên địa chất, tài nguyên khoáng sản, trữ lượng khoáng sản trên phạm vi cả nước; quản lý, cập nhật biến động tài nguyên, trữ lượng;</w:t>
      </w:r>
    </w:p>
    <w:p>
      <w:pPr>
        <w:spacing w:before="0" w:after="120" w:line="276" w:lineRule="auto"/>
        <w:ind w:firstLine="576"/>
        <w:jc w:val="left"/>
      </w:pPr>
      <w:r>
        <w:rPr>
          <w:rFonts w:ascii="Times New Roman" w:hAnsi="Times New Roman"/>
          <w:b w:val="0"/>
          <w:i w:val="0"/>
          <w:sz w:val="26"/>
        </w:rPr>
        <w:t>b) Trình Bộ trưởng chuyển giao cho Ủy ban nhân dân cấp tỉnh danh mục khu vực có tài nguyên địa chất, khoáng sản cần bảo vệ đã và đang được điều tra cơ bản địa chất, điều tra địa chất về khoáng sản.</w:t>
      </w:r>
    </w:p>
    <w:p>
      <w:pPr>
        <w:spacing w:before="0" w:after="80" w:line="276" w:lineRule="auto"/>
        <w:ind w:firstLine="576"/>
        <w:jc w:val="left"/>
      </w:pPr>
      <w:r>
        <w:rPr>
          <w:rFonts w:ascii="Times New Roman" w:hAnsi="Times New Roman"/>
          <w:b w:val="0"/>
          <w:i w:val="0"/>
          <w:sz w:val="26"/>
        </w:rPr>
        <w:t>4. Về quản lý hoạt động khoáng sản:</w:t>
      </w:r>
    </w:p>
    <w:p>
      <w:pPr>
        <w:spacing w:before="0" w:after="80" w:line="276" w:lineRule="auto"/>
        <w:ind w:firstLine="576"/>
        <w:jc w:val="left"/>
      </w:pPr>
      <w:r>
        <w:rPr>
          <w:rFonts w:ascii="Times New Roman" w:hAnsi="Times New Roman"/>
          <w:b w:val="0"/>
          <w:i w:val="0"/>
          <w:sz w:val="26"/>
        </w:rPr>
        <w:t>a) Tiếp nhận, kiểm tra, thẩm định hồ sơ và trình Bộ trưởng giải quyết các thủ tục hành chính về địa chất, khoáng sản thuộc thẩm quyền của Bộ trưởng, bao gồm: cấp giấy phép thăm dò khoáng sản; thu hồi giấy phép thăm dò khoáng sản; cấp, cấp lại, gia hạn, điều chỉnh, thu hồi, chấp thuận trả lại, cấp đổi giấy phép khai thác khoáng sản; chấp thuận chuyển nhượng quyền khai thác khoáng sản và các thủ tục khác thuộc thẩm quyền của Bộ trưởng; hướng dẫn, theo dõi, kiểm tra việc thực hiện các thủ tục đã phân quyền, phân cấp cho Chủ tịch Ủy ban nhân dân cấp tỉnh theo quy định;</w:t>
      </w:r>
    </w:p>
    <w:p>
      <w:pPr>
        <w:spacing w:before="0" w:after="80" w:line="276" w:lineRule="auto"/>
        <w:ind w:firstLine="576"/>
        <w:jc w:val="left"/>
      </w:pPr>
      <w:r>
        <w:rPr>
          <w:rFonts w:ascii="Times New Roman" w:hAnsi="Times New Roman"/>
          <w:b w:val="0"/>
          <w:i w:val="0"/>
          <w:sz w:val="26"/>
        </w:rPr>
        <w:t>b) Kiểm tra chuyên ngành việc chấp hành pháp luật về địa chất, khoáng sản; kiểm tra việc tuân thủ nội dung giấy phép thăm dò, khai thác khoáng sản và nghĩa vụ sau cấp phép đối với giấy phép thuộc thẩm quyền cấp giấy phép của Bộ trưởng;</w:t>
      </w:r>
    </w:p>
    <w:p>
      <w:pPr>
        <w:spacing w:before="0" w:after="80" w:line="276" w:lineRule="auto"/>
        <w:ind w:firstLine="576"/>
        <w:jc w:val="left"/>
      </w:pPr>
      <w:r>
        <w:rPr>
          <w:rFonts w:ascii="Times New Roman" w:hAnsi="Times New Roman"/>
          <w:b w:val="0"/>
          <w:i w:val="0"/>
          <w:sz w:val="26"/>
        </w:rPr>
        <w:t>c) Chủ trì điều phối quốc gia về khoáng sản làm vật liệu xây dựng thông thường; tổ chức hoặc phối hợp giải quyết các vấn đề liên tỉnh, liên vùng, vùng biển, chồng lấn quy hoạch, cân đối nguồn cung khoáng sản làm vật liệu xây dựng thông thường, bảo vệ tài nguyên và các vấn đề vượt thẩm quyền của địa phương; theo dõi, đánh giá nguồn cung, nhu cầu, năng lực khai thác, thu hồi, tuyển, chế biến và sử dụng khoáng sản làm vật liệu xây dựng; đề xuất giải pháp bảo đảm nguồn nguyên liệu cho phát triển hạ tầng, đô thị và các công trình xây dựng;</w:t>
      </w:r>
    </w:p>
    <w:p>
      <w:pPr>
        <w:spacing w:before="0" w:after="120" w:line="276" w:lineRule="auto"/>
        <w:ind w:firstLine="576"/>
        <w:jc w:val="left"/>
      </w:pPr>
      <w:r>
        <w:rPr>
          <w:rFonts w:ascii="Times New Roman" w:hAnsi="Times New Roman"/>
          <w:b w:val="0"/>
          <w:i w:val="0"/>
          <w:sz w:val="26"/>
        </w:rPr>
        <w:t>d) Phối hợp với các bộ, ngành và Ủy ban nhân dân cấp tỉnh trong quản lý hoạt động khoáng sản tại khu vực biển, khu vực liên tỉnh, khu vực cấm hoạt động khoáng sản, khu vực tạm thời cấm hoạt động khoáng sản và các khu vực đặc thù.</w:t>
      </w:r>
    </w:p>
    <w:p>
      <w:pPr>
        <w:spacing w:before="0" w:after="80" w:line="276" w:lineRule="auto"/>
        <w:ind w:firstLine="576"/>
        <w:jc w:val="left"/>
      </w:pPr>
      <w:r>
        <w:rPr>
          <w:rFonts w:ascii="Times New Roman" w:hAnsi="Times New Roman"/>
          <w:b w:val="0"/>
          <w:i w:val="0"/>
          <w:sz w:val="26"/>
        </w:rPr>
        <w:t>5. Về đấu giá quyền khai thác khoáng sản và kinh tế địa chất, khoáng sản:</w:t>
      </w:r>
    </w:p>
    <w:p>
      <w:pPr>
        <w:spacing w:before="0" w:after="80" w:line="276" w:lineRule="auto"/>
        <w:ind w:firstLine="576"/>
        <w:jc w:val="left"/>
      </w:pPr>
      <w:r>
        <w:rPr>
          <w:rFonts w:ascii="Times New Roman" w:hAnsi="Times New Roman"/>
          <w:b w:val="0"/>
          <w:i w:val="0"/>
          <w:sz w:val="26"/>
        </w:rPr>
        <w:t>a) Trình Bộ trưởng kế hoạch đấu giá quyền khai thác khoáng sản; giá khởi điểm, bước giá, kết quả trúng đấu giá, việc hủy quyết định phê duyệt kết quả trúng đấu giá và việc thành lập Hội đồng đấu giá quyền khai thác khoáng sản, Hội đồng giám sát việc đấu giá quyền khai thác khoáng sản theo quy định của pháp luật;</w:t>
      </w:r>
    </w:p>
    <w:p>
      <w:pPr>
        <w:spacing w:before="0" w:after="80" w:line="276" w:lineRule="auto"/>
        <w:ind w:firstLine="576"/>
        <w:jc w:val="left"/>
      </w:pPr>
      <w:r>
        <w:rPr>
          <w:rFonts w:ascii="Times New Roman" w:hAnsi="Times New Roman"/>
          <w:b w:val="0"/>
          <w:i w:val="0"/>
          <w:sz w:val="26"/>
        </w:rPr>
        <w:t>b) Tổ chức thực hiện kế hoạch đấu giá quyền khai thác khoáng sản đã được phê duyệt; tổ chức đấu giá, giám sát và trình Bộ trưởng phê duyệt kết quả trúng đấu giá theo quy định;</w:t>
      </w:r>
    </w:p>
    <w:p>
      <w:pPr>
        <w:spacing w:before="0" w:after="80" w:line="276" w:lineRule="auto"/>
        <w:ind w:firstLine="576"/>
        <w:jc w:val="left"/>
      </w:pPr>
      <w:r>
        <w:rPr>
          <w:rFonts w:ascii="Times New Roman" w:hAnsi="Times New Roman"/>
          <w:b w:val="0"/>
          <w:i w:val="0"/>
          <w:sz w:val="26"/>
        </w:rPr>
        <w:t>c) Tổ chức xác định, thẩm định và trình Bộ trưởng phê duyệt, phê duyệt điều chỉnh, quyết toán tiền cấp quyền khai thác khoáng sản thuộc thẩm quyền;</w:t>
      </w:r>
    </w:p>
    <w:p>
      <w:pPr>
        <w:spacing w:before="0" w:after="80" w:line="276" w:lineRule="auto"/>
        <w:ind w:firstLine="576"/>
        <w:jc w:val="left"/>
      </w:pPr>
      <w:r>
        <w:rPr>
          <w:rFonts w:ascii="Times New Roman" w:hAnsi="Times New Roman"/>
          <w:b w:val="0"/>
          <w:i w:val="0"/>
          <w:sz w:val="26"/>
        </w:rPr>
        <w:t>d) Xác định, trình thẩm định, phê duyệt chi phí đánh giá tiềm năng khoáng sản, chi phí thăm dò khoáng sản phải hoàn trả; quản lý việc hoàn trả chi phí điều tra, đánh giá tiềm năng và thăm dò khoáng sản do Nhà nước đầu tư; hướng dẫn phương pháp xác định chi phí phải hoàn trả;</w:t>
      </w:r>
    </w:p>
    <w:p>
      <w:pPr>
        <w:spacing w:before="0" w:after="120" w:line="276" w:lineRule="auto"/>
        <w:ind w:firstLine="576"/>
        <w:jc w:val="left"/>
      </w:pPr>
      <w:r>
        <w:rPr>
          <w:rFonts w:ascii="Times New Roman" w:hAnsi="Times New Roman"/>
          <w:b w:val="0"/>
          <w:i w:val="0"/>
          <w:sz w:val="26"/>
        </w:rPr>
        <w:t>đ) Nghiên cứu, tổng hợp, phân tích thông tin kinh tế địa chất, thị trường và chuỗi giá trị khoáng sản; phối hợp đề xuất cơ chế tài chính, kinh tế khuyến khích khai thác tiết kiệm, thu hồi tối đa và chế biến sâu.</w:t>
      </w:r>
    </w:p>
    <w:p>
      <w:pPr>
        <w:spacing w:before="0" w:after="80" w:line="276" w:lineRule="auto"/>
        <w:ind w:firstLine="576"/>
        <w:jc w:val="left"/>
      </w:pPr>
      <w:r>
        <w:rPr>
          <w:rFonts w:ascii="Times New Roman" w:hAnsi="Times New Roman"/>
          <w:b w:val="0"/>
          <w:i w:val="0"/>
          <w:sz w:val="26"/>
        </w:rPr>
        <w:t>6. Về khoáng sản chiến lược, quan trọng và đất hiếm:</w:t>
      </w:r>
    </w:p>
    <w:p>
      <w:pPr>
        <w:spacing w:before="0" w:after="80" w:line="276" w:lineRule="auto"/>
        <w:ind w:firstLine="576"/>
        <w:jc w:val="left"/>
      </w:pPr>
      <w:r>
        <w:rPr>
          <w:rFonts w:ascii="Times New Roman" w:hAnsi="Times New Roman"/>
          <w:b w:val="0"/>
          <w:i w:val="0"/>
          <w:sz w:val="26"/>
        </w:rPr>
        <w:t>a) Tổ chức thực hiện, theo dõi và đánh giá việc thực hiện chiến lược quốc gia về đất hiếm sau khi được Thủ tướng Chính phủ phê duyệt; quản lý thống nhất dữ liệu, dự trữ, bảo vệ, điều tra, đánh giá, thăm dò và khai thác đất hiếm;</w:t>
      </w:r>
    </w:p>
    <w:p>
      <w:pPr>
        <w:spacing w:before="0" w:after="80" w:line="276" w:lineRule="auto"/>
        <w:ind w:firstLine="576"/>
        <w:jc w:val="left"/>
      </w:pPr>
      <w:r>
        <w:rPr>
          <w:rFonts w:ascii="Times New Roman" w:hAnsi="Times New Roman"/>
          <w:b w:val="0"/>
          <w:i w:val="0"/>
          <w:sz w:val="26"/>
        </w:rPr>
        <w:t>b) Tổ chức thực hiện thăm dò khoáng sản chiến lược, quan trọng và đất hiếm bằng nguồn vốn ngân sách nhà nước tại các khu vực được cấp có thẩm quyền quyết định;</w:t>
      </w:r>
    </w:p>
    <w:p>
      <w:pPr>
        <w:spacing w:before="0" w:after="80" w:line="276" w:lineRule="auto"/>
        <w:ind w:firstLine="576"/>
        <w:jc w:val="left"/>
      </w:pPr>
      <w:r>
        <w:rPr>
          <w:rFonts w:ascii="Times New Roman" w:hAnsi="Times New Roman"/>
          <w:b w:val="0"/>
          <w:i w:val="0"/>
          <w:sz w:val="26"/>
        </w:rPr>
        <w:t>c) Chủ trì tham mưu danh mục, chương trình, kế hoạch điều tra, thăm dò, khai thác, dự trữ và bảo vệ khoáng sản chiến lược, quan trọng và đất hiếm;</w:t>
      </w:r>
    </w:p>
    <w:p>
      <w:pPr>
        <w:spacing w:before="0" w:after="80" w:line="276" w:lineRule="auto"/>
        <w:ind w:firstLine="576"/>
        <w:jc w:val="left"/>
      </w:pPr>
      <w:r>
        <w:rPr>
          <w:rFonts w:ascii="Times New Roman" w:hAnsi="Times New Roman"/>
          <w:b w:val="0"/>
          <w:i w:val="0"/>
          <w:sz w:val="26"/>
        </w:rPr>
        <w:t>d) Theo dõi, đánh giá, dự báo cung - cầu, thị trường, công nghệ và chuỗi cung ứng; đề xuất giải pháp bảo đảm nguồn nguyên liệu phục vụ phát triển công nghiệp, chuyển dịch năng lượng, quốc phòng, an ninh;</w:t>
      </w:r>
    </w:p>
    <w:p>
      <w:pPr>
        <w:spacing w:before="0" w:after="120" w:line="276" w:lineRule="auto"/>
        <w:ind w:firstLine="576"/>
        <w:jc w:val="left"/>
      </w:pPr>
      <w:r>
        <w:rPr>
          <w:rFonts w:ascii="Times New Roman" w:hAnsi="Times New Roman"/>
          <w:b w:val="0"/>
          <w:i w:val="0"/>
          <w:sz w:val="26"/>
        </w:rPr>
        <w:t>đ) Phối hợp tham mưu chính sách chế biến sâu, truy xuất nguồn gốc, dự trữ, xuất khẩu, nhập khẩu và sử dụng đất hiếm, khoáng sản chiến lược, quan trọng theo phân công của Bộ trưởng.</w:t>
      </w:r>
    </w:p>
    <w:p>
      <w:pPr>
        <w:spacing w:before="0" w:after="80" w:line="276" w:lineRule="auto"/>
        <w:ind w:firstLine="576"/>
        <w:jc w:val="left"/>
      </w:pPr>
      <w:r>
        <w:rPr>
          <w:rFonts w:ascii="Times New Roman" w:hAnsi="Times New Roman"/>
          <w:b w:val="0"/>
          <w:i w:val="0"/>
          <w:sz w:val="26"/>
        </w:rPr>
        <w:t>7. Về công nghiệp khai khoáng, khoáng sản làm vật liệu xây dựng:</w:t>
      </w:r>
    </w:p>
    <w:p>
      <w:pPr>
        <w:spacing w:before="0" w:after="80" w:line="276" w:lineRule="auto"/>
        <w:ind w:firstLine="576"/>
        <w:jc w:val="left"/>
      </w:pPr>
      <w:r>
        <w:rPr>
          <w:rFonts w:ascii="Times New Roman" w:hAnsi="Times New Roman"/>
          <w:b w:val="0"/>
          <w:i w:val="0"/>
          <w:sz w:val="26"/>
        </w:rPr>
        <w:t>a) Nghiên cứu, đề xuất cơ chế, chính sách phát triển công nghiệp khai khoáng hiện đại, an toàn, hiệu quả, xanh, tuần hoàn và phát thải thấp; theo dõi, đánh giá việc thực hiện Chiến lược địa chất, khoáng sản và công nghiệp khai khoáng theo phân công của Bộ trưởng;</w:t>
      </w:r>
    </w:p>
    <w:p>
      <w:pPr>
        <w:spacing w:before="0" w:after="80" w:line="276" w:lineRule="auto"/>
        <w:ind w:firstLine="576"/>
        <w:jc w:val="left"/>
      </w:pPr>
      <w:r>
        <w:rPr>
          <w:rFonts w:ascii="Times New Roman" w:hAnsi="Times New Roman"/>
          <w:b w:val="0"/>
          <w:i w:val="0"/>
          <w:sz w:val="26"/>
        </w:rPr>
        <w:t>b) Phối hợp xây dựng và tổ chức thực hiện chính sách phát triển chuỗi giá trị từ điều tra, thăm dò, khai thác, thu hồi, tuyển, chế biến khoáng sản đến sản xuất nguyên liệu, vật liệu và sản phẩm công nghiệp thuộc phạm vi quản lý của Bộ;</w:t>
      </w:r>
    </w:p>
    <w:p>
      <w:pPr>
        <w:spacing w:before="0" w:after="80" w:line="276" w:lineRule="auto"/>
        <w:ind w:firstLine="576"/>
        <w:jc w:val="left"/>
      </w:pPr>
      <w:r>
        <w:rPr>
          <w:rFonts w:ascii="Times New Roman" w:hAnsi="Times New Roman"/>
          <w:b w:val="0"/>
          <w:i w:val="0"/>
          <w:sz w:val="26"/>
        </w:rPr>
        <w:t>c) Phối hợp theo dõi năng lực khai thác, thu hồi, tuyển, chế biến khoáng sản; đề xuất giải pháp bảo đảm nguồn nguyên liệu cho các ngành công nghiệp;</w:t>
      </w:r>
    </w:p>
    <w:p>
      <w:pPr>
        <w:spacing w:before="0" w:after="80" w:line="276" w:lineRule="auto"/>
        <w:ind w:firstLine="576"/>
        <w:jc w:val="left"/>
      </w:pPr>
      <w:r>
        <w:rPr>
          <w:rFonts w:ascii="Times New Roman" w:hAnsi="Times New Roman"/>
          <w:b w:val="0"/>
          <w:i w:val="0"/>
          <w:sz w:val="26"/>
        </w:rPr>
        <w:t>d) Phối hợp nghiên cứu, đề xuất chính sách phát triển chế biến sâu khoáng sản, vật liệu chiến lược, vật liệu mới và hệ sinh thái công nghiệp đất hiếm;</w:t>
      </w:r>
    </w:p>
    <w:p>
      <w:pPr>
        <w:spacing w:before="0" w:after="120" w:line="276" w:lineRule="auto"/>
        <w:ind w:firstLine="576"/>
        <w:jc w:val="left"/>
      </w:pPr>
      <w:r>
        <w:rPr>
          <w:rFonts w:ascii="Times New Roman" w:hAnsi="Times New Roman"/>
          <w:b w:val="0"/>
          <w:i w:val="0"/>
          <w:sz w:val="26"/>
        </w:rPr>
        <w:t>đ) Hướng dẫn, khuyến khích áp dụng kinh tế tuần hoàn, thu hồi khoáng sản đi kèm, tận dụng và tái chế chất thải từ hoạt động khai thác, chế biến khoáng sản theo quy định.</w:t>
      </w:r>
    </w:p>
    <w:p>
      <w:pPr>
        <w:spacing w:before="0" w:after="80" w:line="276" w:lineRule="auto"/>
        <w:ind w:firstLine="576"/>
        <w:jc w:val="left"/>
      </w:pPr>
      <w:r>
        <w:rPr>
          <w:rFonts w:ascii="Times New Roman" w:hAnsi="Times New Roman"/>
          <w:b w:val="0"/>
          <w:i w:val="0"/>
          <w:sz w:val="26"/>
        </w:rPr>
        <w:t>8. Về cơ sở dữ liệu, thông tin, lưu trữ và chuyển đổi số về địa chất, khoáng sản:</w:t>
      </w:r>
    </w:p>
    <w:p>
      <w:pPr>
        <w:spacing w:before="0" w:after="80" w:line="276" w:lineRule="auto"/>
        <w:ind w:firstLine="576"/>
        <w:jc w:val="left"/>
      </w:pPr>
      <w:r>
        <w:rPr>
          <w:rFonts w:ascii="Times New Roman" w:hAnsi="Times New Roman"/>
          <w:b w:val="0"/>
          <w:i w:val="0"/>
          <w:sz w:val="26"/>
        </w:rPr>
        <w:t>a) Xây dựng, quản lý, vận hành, kết nối, chia sẻ, lưu trữ, bảo quản và bảo mật cơ sở dữ liệu về địa chất, khoáng sản; tổ chức cung cấp, khai thác, sử dụng thông tin, dữ liệu theo quy định;</w:t>
      </w:r>
    </w:p>
    <w:p>
      <w:pPr>
        <w:spacing w:before="0" w:after="80" w:line="276" w:lineRule="auto"/>
        <w:ind w:firstLine="576"/>
        <w:jc w:val="left"/>
      </w:pPr>
      <w:r>
        <w:rPr>
          <w:rFonts w:ascii="Times New Roman" w:hAnsi="Times New Roman"/>
          <w:b w:val="0"/>
          <w:i w:val="0"/>
          <w:sz w:val="26"/>
        </w:rPr>
        <w:t>b) Xây dựng, quản lý các cơ sở dữ liệu chuyên ngành về địa chất, khoáng sản;</w:t>
      </w:r>
    </w:p>
    <w:p>
      <w:pPr>
        <w:spacing w:before="0" w:after="80" w:line="276" w:lineRule="auto"/>
        <w:ind w:firstLine="576"/>
        <w:jc w:val="left"/>
      </w:pPr>
      <w:r>
        <w:rPr>
          <w:rFonts w:ascii="Times New Roman" w:hAnsi="Times New Roman"/>
          <w:b w:val="0"/>
          <w:i w:val="0"/>
          <w:sz w:val="26"/>
        </w:rPr>
        <w:t>c) Số hóa hồ sơ, tài liệu; xây dựng bản đồ số, hệ thống thông tin địa lý; kết nối, chia sẻ dữ liệu với các bộ, ngành, địa phương;</w:t>
      </w:r>
    </w:p>
    <w:p>
      <w:pPr>
        <w:spacing w:before="0" w:after="80" w:line="276" w:lineRule="auto"/>
        <w:ind w:firstLine="576"/>
        <w:jc w:val="left"/>
      </w:pPr>
      <w:r>
        <w:rPr>
          <w:rFonts w:ascii="Times New Roman" w:hAnsi="Times New Roman"/>
          <w:b w:val="0"/>
          <w:i w:val="0"/>
          <w:sz w:val="26"/>
        </w:rPr>
        <w:t>d) Tổ chức chuyển đổi số; ứng dụng trí tuệ nhân tạo, dữ liệu lớn, viễn thám, mô hình số, công nghệ quan trắc và giám sát số;</w:t>
      </w:r>
    </w:p>
    <w:p>
      <w:pPr>
        <w:spacing w:before="0" w:after="120" w:line="276" w:lineRule="auto"/>
        <w:ind w:firstLine="576"/>
        <w:jc w:val="left"/>
      </w:pPr>
      <w:r>
        <w:rPr>
          <w:rFonts w:ascii="Times New Roman" w:hAnsi="Times New Roman"/>
          <w:b w:val="0"/>
          <w:i w:val="0"/>
          <w:sz w:val="26"/>
        </w:rPr>
        <w:t>đ) Tổ chức công tác lưu trữ chuyên ngành, hoạt động của Bảo tàng địa chất và khoáng sản; quản lý mẫu vật, mẫu lõi khoan, tài liệu nguyên thủy và tài sản dữ liệu theo thẩm quyền.</w:t>
      </w:r>
    </w:p>
    <w:p>
      <w:pPr>
        <w:spacing w:before="0" w:after="80" w:line="276" w:lineRule="auto"/>
        <w:ind w:firstLine="576"/>
        <w:jc w:val="left"/>
      </w:pPr>
      <w:r>
        <w:rPr>
          <w:rFonts w:ascii="Times New Roman" w:hAnsi="Times New Roman"/>
          <w:b w:val="0"/>
          <w:i w:val="0"/>
          <w:sz w:val="26"/>
        </w:rPr>
        <w:t>9. Về kiểm tra, giám sát và xử lý vi phạm:</w:t>
      </w:r>
    </w:p>
    <w:p>
      <w:pPr>
        <w:spacing w:before="0" w:after="80" w:line="276" w:lineRule="auto"/>
        <w:ind w:firstLine="576"/>
        <w:jc w:val="left"/>
      </w:pPr>
      <w:r>
        <w:rPr>
          <w:rFonts w:ascii="Times New Roman" w:hAnsi="Times New Roman"/>
          <w:b w:val="0"/>
          <w:i w:val="0"/>
          <w:sz w:val="26"/>
        </w:rPr>
        <w:t>a) Trình Bộ trưởng kế hoạch kiểm tra chuyên ngành về địa chất, khoáng sản hằng năm; tổ chức và chỉ đạo thực hiện kiểm tra chuyên ngành về địa chất, khoáng sản trên phạm vi cả nước, bao gồm việc chấp hành pháp luật về địa chất, khoáng sản của Ủy ban nhân dân các cấp và việc tuân thủ nội dung giấy phép thăm dò, khai thác khoáng sản thuộc thẩm quyền cấp phép của Bộ trưởng; kiểm soát hoạt động điều tra cơ bản địa chất, điều tra địa chất về khoáng sản trên phạm vi cả nước;</w:t>
      </w:r>
    </w:p>
    <w:p>
      <w:pPr>
        <w:spacing w:before="0" w:after="80" w:line="276" w:lineRule="auto"/>
        <w:ind w:firstLine="576"/>
        <w:jc w:val="left"/>
      </w:pPr>
      <w:r>
        <w:rPr>
          <w:rFonts w:ascii="Times New Roman" w:hAnsi="Times New Roman"/>
          <w:b w:val="0"/>
          <w:i w:val="0"/>
          <w:sz w:val="26"/>
        </w:rPr>
        <w:t>b) Tiếp công dân; giải quyết khiếu nại, tố cáo; xử phạt vi phạm hành chính theo thẩm quyền hoặc kiến nghị người có thẩm quyền xử lý vi phạm pháp luật về địa chất, khoáng sản theo quy định của pháp luật và phân công của Bộ trưởng;</w:t>
      </w:r>
    </w:p>
    <w:p>
      <w:pPr>
        <w:spacing w:before="0" w:after="120" w:line="276" w:lineRule="auto"/>
        <w:ind w:firstLine="576"/>
        <w:jc w:val="left"/>
      </w:pPr>
      <w:r>
        <w:rPr>
          <w:rFonts w:ascii="Times New Roman" w:hAnsi="Times New Roman"/>
          <w:b w:val="0"/>
          <w:i w:val="0"/>
          <w:sz w:val="26"/>
        </w:rPr>
        <w:t>c) Theo dõi, đôn đốc việc thực hiện kết luận kiểm tra, quyết định xử lý vi phạm hành chính.</w:t>
      </w:r>
    </w:p>
    <w:p>
      <w:pPr>
        <w:spacing w:before="0" w:after="80" w:line="276" w:lineRule="auto"/>
        <w:ind w:firstLine="576"/>
        <w:jc w:val="left"/>
      </w:pPr>
      <w:r>
        <w:rPr>
          <w:rFonts w:ascii="Times New Roman" w:hAnsi="Times New Roman"/>
          <w:b w:val="0"/>
          <w:i w:val="0"/>
          <w:sz w:val="26"/>
        </w:rPr>
        <w:t>10. Về khoa học, công nghệ, đổi mới sáng tạo và dịch vụ công về địa chất, khoáng sản:</w:t>
      </w:r>
    </w:p>
    <w:p>
      <w:pPr>
        <w:spacing w:before="0" w:after="80" w:line="276" w:lineRule="auto"/>
        <w:ind w:firstLine="576"/>
        <w:jc w:val="left"/>
      </w:pPr>
      <w:r>
        <w:rPr>
          <w:rFonts w:ascii="Times New Roman" w:hAnsi="Times New Roman"/>
          <w:b w:val="0"/>
          <w:i w:val="0"/>
          <w:sz w:val="26"/>
        </w:rPr>
        <w:t>a) Xây dựng, tổ chức thực hiện chương trình, kế hoạch khoa học, công nghệ và đổi mới sáng tạo; nghiên cứu, ứng dụng, chuyển giao công nghệ trong điều tra, thăm dò, khai thác, thu hồi, tuyển, chế biến và quản trị tài nguyên;</w:t>
      </w:r>
    </w:p>
    <w:p>
      <w:pPr>
        <w:spacing w:before="0" w:after="80" w:line="276" w:lineRule="auto"/>
        <w:ind w:firstLine="576"/>
        <w:jc w:val="left"/>
      </w:pPr>
      <w:r>
        <w:rPr>
          <w:rFonts w:ascii="Times New Roman" w:hAnsi="Times New Roman"/>
          <w:b w:val="0"/>
          <w:i w:val="0"/>
          <w:sz w:val="26"/>
        </w:rPr>
        <w:t>b) Hướng dẫn nghiên cứu thử nghiệm công nghệ chế biến khoáng sản; phối hợp đánh giá công nghệ khai thác, tuyển, chế biến theo phân công của Bộ trưởng;</w:t>
      </w:r>
    </w:p>
    <w:p>
      <w:pPr>
        <w:spacing w:before="0" w:after="80" w:line="276" w:lineRule="auto"/>
        <w:ind w:firstLine="576"/>
        <w:jc w:val="left"/>
      </w:pPr>
      <w:r>
        <w:rPr>
          <w:rFonts w:ascii="Times New Roman" w:hAnsi="Times New Roman"/>
          <w:b w:val="0"/>
          <w:i w:val="0"/>
          <w:sz w:val="26"/>
        </w:rPr>
        <w:t>c) Phối hợp xây dựng, trình Bộ trưởng ban hành tiêu chí, tiêu chuẩn, cơ chế giám sát, đánh giá và kiểm định chất lượng dịch vụ sự nghiệp công về địa chất, khoáng sản; hướng dẫn, kiểm tra các tổ chức cung cấp dịch vụ công theo quy định của pháp luật;</w:t>
      </w:r>
    </w:p>
    <w:p>
      <w:pPr>
        <w:spacing w:before="0" w:after="120" w:line="276" w:lineRule="auto"/>
        <w:ind w:firstLine="576"/>
        <w:jc w:val="left"/>
      </w:pPr>
      <w:r>
        <w:rPr>
          <w:rFonts w:ascii="Times New Roman" w:hAnsi="Times New Roman"/>
          <w:b w:val="0"/>
          <w:i w:val="0"/>
          <w:sz w:val="26"/>
        </w:rPr>
        <w:t>d) Tổ chức phân tích, kiểm định, giám định, thử nghiệm và các dịch vụ kỹ thuật chuyên ngành theo quy định.</w:t>
      </w:r>
    </w:p>
    <w:p>
      <w:pPr>
        <w:spacing w:before="0" w:after="80" w:line="276" w:lineRule="auto"/>
        <w:ind w:firstLine="576"/>
        <w:jc w:val="left"/>
      </w:pPr>
      <w:r>
        <w:rPr>
          <w:rFonts w:ascii="Times New Roman" w:hAnsi="Times New Roman"/>
          <w:b w:val="0"/>
          <w:i w:val="0"/>
          <w:sz w:val="26"/>
        </w:rPr>
        <w:t>11. Về hợp tác quốc tế:</w:t>
      </w:r>
    </w:p>
    <w:p>
      <w:pPr>
        <w:spacing w:before="0" w:after="80" w:line="276" w:lineRule="auto"/>
        <w:ind w:firstLine="576"/>
        <w:jc w:val="left"/>
      </w:pPr>
      <w:r>
        <w:rPr>
          <w:rFonts w:ascii="Times New Roman" w:hAnsi="Times New Roman"/>
          <w:b w:val="0"/>
          <w:i w:val="0"/>
          <w:sz w:val="26"/>
        </w:rPr>
        <w:t>a) Tham gia đàm phán và tổ chức thực hiện điều ước quốc tế về địa chất, khoáng sản theo phân công của Bộ trưởng; ký kết và tổ chức thực hiện thỏa thuận quốc tế về địa chất, khoáng sản theo quy định của pháp luật về thỏa thuận quốc tế và ủy quyền của Bộ trưởng;</w:t>
      </w:r>
    </w:p>
    <w:p>
      <w:pPr>
        <w:spacing w:before="0" w:after="80" w:line="276" w:lineRule="auto"/>
        <w:ind w:firstLine="576"/>
        <w:jc w:val="left"/>
      </w:pPr>
      <w:r>
        <w:rPr>
          <w:rFonts w:ascii="Times New Roman" w:hAnsi="Times New Roman"/>
          <w:b w:val="0"/>
          <w:i w:val="0"/>
          <w:sz w:val="26"/>
        </w:rPr>
        <w:t>b) Xây dựng, tổ chức thực hiện chương trình, đề án, dự án hợp tác quốc tế; tổ chức hoặc tham gia diễn đàn, hội nghị, hội thảo quốc tế sau khi được cấp có thẩm quyền phê duyệt;</w:t>
      </w:r>
    </w:p>
    <w:p>
      <w:pPr>
        <w:spacing w:before="0" w:after="80" w:line="276" w:lineRule="auto"/>
        <w:ind w:firstLine="576"/>
        <w:jc w:val="left"/>
      </w:pPr>
      <w:r>
        <w:rPr>
          <w:rFonts w:ascii="Times New Roman" w:hAnsi="Times New Roman"/>
          <w:b w:val="0"/>
          <w:i w:val="0"/>
          <w:sz w:val="26"/>
        </w:rPr>
        <w:t>c) Thực hiện vai trò đầu mối quốc gia tại Ủy ban Điều phối các Chương trình khoa học Địa chất khu vực Đông và Đông Nam Á (CCOP), Chương trình Khoa học Địa chất Quốc tế (IGCP), Kế hoạch hành động hợp tác ASEAN về khoáng sản (AMCAP) và các cơ chế hợp tác quốc tế khác theo phân công của Bộ trưởng;</w:t>
      </w:r>
    </w:p>
    <w:p>
      <w:pPr>
        <w:spacing w:before="0" w:after="120" w:line="276" w:lineRule="auto"/>
        <w:ind w:firstLine="576"/>
        <w:jc w:val="left"/>
      </w:pPr>
      <w:r>
        <w:rPr>
          <w:rFonts w:ascii="Times New Roman" w:hAnsi="Times New Roman"/>
          <w:b w:val="0"/>
          <w:i w:val="0"/>
          <w:sz w:val="26"/>
        </w:rPr>
        <w:t>d) Thu hút nguồn lực, chuyển giao công nghệ, đào tạo nhân lực và chia sẻ dữ liệu phục vụ điều tra địa chất, quản lý khoáng sản, chế biến sâu và phát triển công nghiệp khai khoáng.</w:t>
      </w:r>
    </w:p>
    <w:p>
      <w:pPr>
        <w:spacing w:before="0" w:after="80" w:line="276" w:lineRule="auto"/>
        <w:ind w:firstLine="576"/>
        <w:jc w:val="left"/>
      </w:pPr>
      <w:r>
        <w:rPr>
          <w:rFonts w:ascii="Times New Roman" w:hAnsi="Times New Roman"/>
          <w:b w:val="0"/>
          <w:i w:val="0"/>
          <w:sz w:val="26"/>
        </w:rPr>
        <w:t>12. Về thông tin, báo cáo, tuyên truyền và phát triển nguồn nhân lực:</w:t>
      </w:r>
    </w:p>
    <w:p>
      <w:pPr>
        <w:spacing w:before="0" w:after="80" w:line="276" w:lineRule="auto"/>
        <w:ind w:firstLine="576"/>
        <w:jc w:val="left"/>
      </w:pPr>
      <w:r>
        <w:rPr>
          <w:rFonts w:ascii="Times New Roman" w:hAnsi="Times New Roman"/>
          <w:b w:val="0"/>
          <w:i w:val="0"/>
          <w:sz w:val="26"/>
        </w:rPr>
        <w:t>a) Tổng hợp, xây dựng và trình Bộ trưởng báo cáo tình hình quản lý nhà nước về địa chất, khoáng sản trên phạm vi cả nước; báo cáo chuyên đề về khoáng sản chiến lược, quan trọng, đất hiếm, an ninh tài nguyên và an ninh nguyên liệu khoáng sản; báo cáo định kỳ, đột xuất khác; hướng dẫn và kiểm tra việc thực hiện chế độ báo cáo về địa chất, khoáng sản trên phạm vi cả nước;</w:t>
      </w:r>
    </w:p>
    <w:p>
      <w:pPr>
        <w:spacing w:before="0" w:after="80" w:line="276" w:lineRule="auto"/>
        <w:ind w:firstLine="576"/>
        <w:jc w:val="left"/>
      </w:pPr>
      <w:r>
        <w:rPr>
          <w:rFonts w:ascii="Times New Roman" w:hAnsi="Times New Roman"/>
          <w:b w:val="0"/>
          <w:i w:val="0"/>
          <w:sz w:val="26"/>
        </w:rPr>
        <w:t>b) Tổ chức tuyên truyền, phổ biến, giáo dục pháp luật; cung cấp thông tin phục vụ chỉ đạo, điều hành và truyền thông chính sách;</w:t>
      </w:r>
    </w:p>
    <w:p>
      <w:pPr>
        <w:spacing w:before="0" w:after="120" w:line="276" w:lineRule="auto"/>
        <w:ind w:firstLine="576"/>
        <w:jc w:val="left"/>
      </w:pPr>
      <w:r>
        <w:rPr>
          <w:rFonts w:ascii="Times New Roman" w:hAnsi="Times New Roman"/>
          <w:b w:val="0"/>
          <w:i w:val="0"/>
          <w:sz w:val="26"/>
        </w:rPr>
        <w:t>c) Xây dựng, tổ chức thực hiện kế hoạch đào tạo, bồi dưỡng; phát triển đội ngũ chuyên gia và nguồn nhân lực chất lượng cao thuộc phạm vi ngành, lĩnh vực được phân công phụ trách.</w:t>
      </w:r>
    </w:p>
    <w:p>
      <w:pPr>
        <w:spacing w:before="0" w:after="120" w:line="276" w:lineRule="auto"/>
        <w:ind w:firstLine="576"/>
        <w:jc w:val="left"/>
      </w:pPr>
      <w:r>
        <w:rPr>
          <w:rFonts w:ascii="Times New Roman" w:hAnsi="Times New Roman"/>
          <w:b w:val="0"/>
          <w:i w:val="0"/>
          <w:sz w:val="26"/>
        </w:rPr>
        <w:t>13. Phối hợp với Bộ Tài chính chỉ đạo các tập đoàn kinh tế nhà nước, tổng công ty nhà nước do Bộ Tài chính là cơ quan đại diện chủ sở hữu trong triển khai thực hiện các nhiệm vụ chính trị, đột xuất, cấp bách và các nhiệm vụ quan trọng khác trong phạm vi lĩnh vực phụ trách theo yêu cầu của cấp có thẩm quyền, bảo đảm kịp thời, hiệu quả, đáp ứng yêu cầu đề ra.</w:t>
      </w:r>
    </w:p>
    <w:p>
      <w:pPr>
        <w:spacing w:before="0" w:after="120" w:line="276" w:lineRule="auto"/>
        <w:ind w:firstLine="576"/>
        <w:jc w:val="left"/>
      </w:pPr>
      <w:r>
        <w:rPr>
          <w:rFonts w:ascii="Times New Roman" w:hAnsi="Times New Roman"/>
          <w:b w:val="0"/>
          <w:i w:val="0"/>
          <w:sz w:val="26"/>
        </w:rPr>
        <w:t>14. Thực hiện nhiệm vụ, quyền hạn theo quy định của pháp luật về phòng cháy, chữa cháy; tình trạng khẩn cấp thuộc phạm vi lĩnh vực được phân công phụ trách.</w:t>
      </w:r>
    </w:p>
    <w:p>
      <w:pPr>
        <w:spacing w:before="0" w:after="120" w:line="276" w:lineRule="auto"/>
        <w:ind w:firstLine="576"/>
        <w:jc w:val="left"/>
      </w:pPr>
      <w:r>
        <w:rPr>
          <w:rFonts w:ascii="Times New Roman" w:hAnsi="Times New Roman"/>
          <w:b w:val="0"/>
          <w:i w:val="0"/>
          <w:sz w:val="26"/>
        </w:rPr>
        <w:t>15. Tham mưu quản lý nhà nước và theo dõi hoạt động của các Hội, Hiệp hội ngành nghề hoạt động trong phạm vi ngành, lĩnh vực được phân công phụ trách.</w:t>
      </w:r>
    </w:p>
    <w:p>
      <w:pPr>
        <w:spacing w:before="0" w:after="80" w:line="276" w:lineRule="auto"/>
        <w:ind w:firstLine="576"/>
        <w:jc w:val="left"/>
      </w:pPr>
      <w:r>
        <w:rPr>
          <w:rFonts w:ascii="Times New Roman" w:hAnsi="Times New Roman"/>
          <w:b w:val="0"/>
          <w:i w:val="0"/>
          <w:sz w:val="26"/>
        </w:rPr>
        <w:t>16. Về hoạt động tổ chức bộ máy, tài chính, tài sản và quản lý nội bộ:</w:t>
      </w:r>
    </w:p>
    <w:p>
      <w:pPr>
        <w:spacing w:before="0" w:after="80" w:line="276" w:lineRule="auto"/>
        <w:ind w:firstLine="576"/>
        <w:jc w:val="left"/>
      </w:pPr>
      <w:r>
        <w:rPr>
          <w:rFonts w:ascii="Times New Roman" w:hAnsi="Times New Roman"/>
          <w:b w:val="0"/>
          <w:i w:val="0"/>
          <w:sz w:val="26"/>
        </w:rPr>
        <w:t>a) Tổ chức thực hiện cải cách hành chính, kiểm soát thủ tục hành chính; thực hành tiết kiệm, phòng, chống lãng phí, tham nhũng, tiêu cực;</w:t>
      </w:r>
    </w:p>
    <w:p>
      <w:pPr>
        <w:spacing w:before="0" w:after="80" w:line="276" w:lineRule="auto"/>
        <w:ind w:firstLine="576"/>
        <w:jc w:val="left"/>
      </w:pPr>
      <w:r>
        <w:rPr>
          <w:rFonts w:ascii="Times New Roman" w:hAnsi="Times New Roman"/>
          <w:b w:val="0"/>
          <w:i w:val="0"/>
          <w:sz w:val="26"/>
        </w:rPr>
        <w:t>b) Quản lý tổ chức bộ máy, biên chế, vị trí việc làm; công chức, viên chức, người lao động theo quy định của pháp luật và phân cấp của Bộ trưởng;</w:t>
      </w:r>
    </w:p>
    <w:p>
      <w:pPr>
        <w:spacing w:before="0" w:after="80" w:line="276" w:lineRule="auto"/>
        <w:ind w:firstLine="576"/>
        <w:jc w:val="left"/>
      </w:pPr>
      <w:r>
        <w:rPr>
          <w:rFonts w:ascii="Times New Roman" w:hAnsi="Times New Roman"/>
          <w:b w:val="0"/>
          <w:i w:val="0"/>
          <w:sz w:val="26"/>
        </w:rPr>
        <w:t>c) Quản lý tài chính, kế toán, đầu tư công, tài sản; thực hiện trách nhiệm của đơn vị dự toán cấp trên đối với các đơn vị trực thuộc Cục;</w:t>
      </w:r>
    </w:p>
    <w:p>
      <w:pPr>
        <w:spacing w:before="0" w:after="120" w:line="276" w:lineRule="auto"/>
        <w:ind w:firstLine="576"/>
        <w:jc w:val="left"/>
      </w:pPr>
      <w:r>
        <w:rPr>
          <w:rFonts w:ascii="Times New Roman" w:hAnsi="Times New Roman"/>
          <w:b w:val="0"/>
          <w:i w:val="0"/>
          <w:sz w:val="26"/>
        </w:rPr>
        <w:t>d) Quản lý, hướng dẫn, kiểm tra hoạt động của các Chi cục và đơn vị sự nghiệp công lập trực thuộc Cục.</w:t>
      </w:r>
    </w:p>
    <w:p>
      <w:pPr>
        <w:spacing w:before="0" w:after="240" w:line="276" w:lineRule="auto"/>
        <w:ind w:firstLine="576"/>
        <w:jc w:val="left"/>
      </w:pPr>
      <w:r>
        <w:rPr>
          <w:rFonts w:ascii="Times New Roman" w:hAnsi="Times New Roman"/>
          <w:b w:val="0"/>
          <w:i w:val="0"/>
          <w:sz w:val="26"/>
        </w:rPr>
        <w:t>17. Thực hiện các nhiệm vụ, quyền hạn khác do Bộ trưởng giao và theo quy định của pháp luật.</w:t>
      </w:r>
    </w:p>
    <w:p>
      <w:pPr>
        <w:spacing w:before="0" w:after="120" w:line="276" w:lineRule="auto"/>
        <w:jc w:val="left"/>
      </w:pPr>
      <w:r>
        <w:rPr>
          <w:rFonts w:ascii="Times New Roman" w:hAnsi="Times New Roman"/>
          <w:b/>
          <w:i w:val="0"/>
          <w:sz w:val="26"/>
        </w:rPr>
        <w:t>Điều 3. Cơ cấu tổ chức</w:t>
      </w:r>
    </w:p>
    <w:p>
      <w:pPr>
        <w:spacing w:before="0" w:after="60" w:line="276" w:lineRule="auto"/>
        <w:ind w:firstLine="576"/>
        <w:jc w:val="left"/>
      </w:pPr>
      <w:r>
        <w:rPr>
          <w:rFonts w:ascii="Times New Roman" w:hAnsi="Times New Roman"/>
          <w:b w:val="0"/>
          <w:i w:val="0"/>
          <w:sz w:val="26"/>
        </w:rPr>
        <w:t>1. Văn phòng.</w:t>
      </w:r>
    </w:p>
    <w:p>
      <w:pPr>
        <w:spacing w:before="0" w:after="60" w:line="276" w:lineRule="auto"/>
        <w:ind w:firstLine="576"/>
        <w:jc w:val="left"/>
      </w:pPr>
      <w:r>
        <w:rPr>
          <w:rFonts w:ascii="Times New Roman" w:hAnsi="Times New Roman"/>
          <w:b w:val="0"/>
          <w:i w:val="0"/>
          <w:sz w:val="26"/>
        </w:rPr>
        <w:t>2. Phòng Kế hoạch - Tài chính.</w:t>
      </w:r>
    </w:p>
    <w:p>
      <w:pPr>
        <w:spacing w:before="0" w:after="60" w:line="276" w:lineRule="auto"/>
        <w:ind w:firstLine="576"/>
        <w:jc w:val="left"/>
      </w:pPr>
      <w:r>
        <w:rPr>
          <w:rFonts w:ascii="Times New Roman" w:hAnsi="Times New Roman"/>
          <w:b w:val="0"/>
          <w:i w:val="0"/>
          <w:sz w:val="26"/>
        </w:rPr>
        <w:t>3. Phòng Tổ chức cán bộ.</w:t>
      </w:r>
    </w:p>
    <w:p>
      <w:pPr>
        <w:spacing w:before="0" w:after="60" w:line="276" w:lineRule="auto"/>
        <w:ind w:firstLine="576"/>
        <w:jc w:val="left"/>
      </w:pPr>
      <w:r>
        <w:rPr>
          <w:rFonts w:ascii="Times New Roman" w:hAnsi="Times New Roman"/>
          <w:b w:val="0"/>
          <w:i w:val="0"/>
          <w:sz w:val="26"/>
        </w:rPr>
        <w:t>4. Phòng Pháp chế và Kiểm tra.</w:t>
      </w:r>
    </w:p>
    <w:p>
      <w:pPr>
        <w:spacing w:before="0" w:after="60" w:line="276" w:lineRule="auto"/>
        <w:ind w:firstLine="576"/>
        <w:jc w:val="left"/>
      </w:pPr>
      <w:r>
        <w:rPr>
          <w:rFonts w:ascii="Times New Roman" w:hAnsi="Times New Roman"/>
          <w:b w:val="0"/>
          <w:i w:val="0"/>
          <w:sz w:val="26"/>
        </w:rPr>
        <w:t>5. Phòng Khoa học và Hợp tác quốc tế.</w:t>
      </w:r>
    </w:p>
    <w:p>
      <w:pPr>
        <w:spacing w:before="0" w:after="60" w:line="276" w:lineRule="auto"/>
        <w:ind w:firstLine="576"/>
        <w:jc w:val="left"/>
      </w:pPr>
      <w:r>
        <w:rPr>
          <w:rFonts w:ascii="Times New Roman" w:hAnsi="Times New Roman"/>
          <w:b w:val="0"/>
          <w:i w:val="0"/>
          <w:sz w:val="26"/>
        </w:rPr>
        <w:t>6. Phòng Địa chất.</w:t>
      </w:r>
    </w:p>
    <w:p>
      <w:pPr>
        <w:spacing w:before="0" w:after="60" w:line="276" w:lineRule="auto"/>
        <w:ind w:firstLine="576"/>
        <w:jc w:val="left"/>
      </w:pPr>
      <w:r>
        <w:rPr>
          <w:rFonts w:ascii="Times New Roman" w:hAnsi="Times New Roman"/>
          <w:b w:val="0"/>
          <w:i w:val="0"/>
          <w:sz w:val="26"/>
        </w:rPr>
        <w:t>7. Phòng Khoáng sản.</w:t>
      </w:r>
    </w:p>
    <w:p>
      <w:pPr>
        <w:spacing w:before="0" w:after="60" w:line="276" w:lineRule="auto"/>
        <w:ind w:firstLine="576"/>
        <w:jc w:val="left"/>
      </w:pPr>
      <w:r>
        <w:rPr>
          <w:rFonts w:ascii="Times New Roman" w:hAnsi="Times New Roman"/>
          <w:b w:val="0"/>
          <w:i w:val="0"/>
          <w:sz w:val="26"/>
        </w:rPr>
        <w:t>8. Phòng Kinh tế tài nguyên địa chất.</w:t>
      </w:r>
    </w:p>
    <w:p>
      <w:pPr>
        <w:spacing w:before="0" w:after="60" w:line="276" w:lineRule="auto"/>
        <w:ind w:firstLine="576"/>
        <w:jc w:val="left"/>
      </w:pPr>
      <w:r>
        <w:rPr>
          <w:rFonts w:ascii="Times New Roman" w:hAnsi="Times New Roman"/>
          <w:b w:val="0"/>
          <w:i w:val="0"/>
          <w:sz w:val="26"/>
        </w:rPr>
        <w:t>9. Chi cục Địa chất và Khoáng sản miền Trung.</w:t>
      </w:r>
    </w:p>
    <w:p>
      <w:pPr>
        <w:spacing w:before="0" w:after="60" w:line="276" w:lineRule="auto"/>
        <w:ind w:firstLine="576"/>
        <w:jc w:val="left"/>
      </w:pPr>
      <w:r>
        <w:rPr>
          <w:rFonts w:ascii="Times New Roman" w:hAnsi="Times New Roman"/>
          <w:b w:val="0"/>
          <w:i w:val="0"/>
          <w:sz w:val="26"/>
        </w:rPr>
        <w:t>10. Chi cục Địa chất và Khoáng sản miền Nam.</w:t>
      </w:r>
    </w:p>
    <w:p>
      <w:pPr>
        <w:spacing w:before="0" w:after="60" w:line="276" w:lineRule="auto"/>
        <w:ind w:firstLine="576"/>
        <w:jc w:val="left"/>
      </w:pPr>
      <w:r>
        <w:rPr>
          <w:rFonts w:ascii="Times New Roman" w:hAnsi="Times New Roman"/>
          <w:b w:val="0"/>
          <w:i w:val="0"/>
          <w:sz w:val="26"/>
        </w:rPr>
        <w:t>11. Liên đoàn Bản đồ và Địa chất biển miền Bắc.</w:t>
      </w:r>
    </w:p>
    <w:p>
      <w:pPr>
        <w:spacing w:before="0" w:after="60" w:line="276" w:lineRule="auto"/>
        <w:ind w:firstLine="576"/>
        <w:jc w:val="left"/>
      </w:pPr>
      <w:r>
        <w:rPr>
          <w:rFonts w:ascii="Times New Roman" w:hAnsi="Times New Roman"/>
          <w:b w:val="0"/>
          <w:i w:val="0"/>
          <w:sz w:val="26"/>
        </w:rPr>
        <w:t>12. Liên đoàn Bản đồ và Địa chất biển miền Nam.</w:t>
      </w:r>
    </w:p>
    <w:p>
      <w:pPr>
        <w:spacing w:before="0" w:after="60" w:line="276" w:lineRule="auto"/>
        <w:ind w:firstLine="576"/>
        <w:jc w:val="left"/>
      </w:pPr>
      <w:r>
        <w:rPr>
          <w:rFonts w:ascii="Times New Roman" w:hAnsi="Times New Roman"/>
          <w:b w:val="0"/>
          <w:i w:val="0"/>
          <w:sz w:val="26"/>
        </w:rPr>
        <w:t>13. Liên đoàn Địa chất Đông Bắc.</w:t>
      </w:r>
    </w:p>
    <w:p>
      <w:pPr>
        <w:spacing w:before="0" w:after="60" w:line="276" w:lineRule="auto"/>
        <w:ind w:firstLine="576"/>
        <w:jc w:val="left"/>
      </w:pPr>
      <w:r>
        <w:rPr>
          <w:rFonts w:ascii="Times New Roman" w:hAnsi="Times New Roman"/>
          <w:b w:val="0"/>
          <w:i w:val="0"/>
          <w:sz w:val="26"/>
        </w:rPr>
        <w:t>14. Liên đoàn Địa chất Tây Bắc.</w:t>
      </w:r>
    </w:p>
    <w:p>
      <w:pPr>
        <w:spacing w:before="0" w:after="60" w:line="276" w:lineRule="auto"/>
        <w:ind w:firstLine="576"/>
        <w:jc w:val="left"/>
      </w:pPr>
      <w:r>
        <w:rPr>
          <w:rFonts w:ascii="Times New Roman" w:hAnsi="Times New Roman"/>
          <w:b w:val="0"/>
          <w:i w:val="0"/>
          <w:sz w:val="26"/>
        </w:rPr>
        <w:t>15. Liên đoàn Địa chất Bắc Trung Bộ.</w:t>
      </w:r>
    </w:p>
    <w:p>
      <w:pPr>
        <w:spacing w:before="0" w:after="60" w:line="276" w:lineRule="auto"/>
        <w:ind w:firstLine="576"/>
        <w:jc w:val="left"/>
      </w:pPr>
      <w:r>
        <w:rPr>
          <w:rFonts w:ascii="Times New Roman" w:hAnsi="Times New Roman"/>
          <w:b w:val="0"/>
          <w:i w:val="0"/>
          <w:sz w:val="26"/>
        </w:rPr>
        <w:t>16. Liên đoàn Địa chất Trung Trung Bộ.</w:t>
      </w:r>
    </w:p>
    <w:p>
      <w:pPr>
        <w:spacing w:before="0" w:after="60" w:line="276" w:lineRule="auto"/>
        <w:ind w:firstLine="576"/>
        <w:jc w:val="left"/>
      </w:pPr>
      <w:r>
        <w:rPr>
          <w:rFonts w:ascii="Times New Roman" w:hAnsi="Times New Roman"/>
          <w:b w:val="0"/>
          <w:i w:val="0"/>
          <w:sz w:val="26"/>
        </w:rPr>
        <w:t>17. Liên đoàn Địa chất Xạ - Hiếm.</w:t>
      </w:r>
    </w:p>
    <w:p>
      <w:pPr>
        <w:spacing w:before="0" w:after="60" w:line="276" w:lineRule="auto"/>
        <w:ind w:firstLine="576"/>
        <w:jc w:val="left"/>
      </w:pPr>
      <w:r>
        <w:rPr>
          <w:rFonts w:ascii="Times New Roman" w:hAnsi="Times New Roman"/>
          <w:b w:val="0"/>
          <w:i w:val="0"/>
          <w:sz w:val="26"/>
        </w:rPr>
        <w:t>18. Liên đoàn Vật lý Địa chất.</w:t>
      </w:r>
    </w:p>
    <w:p>
      <w:pPr>
        <w:spacing w:before="0" w:after="60" w:line="276" w:lineRule="auto"/>
        <w:ind w:firstLine="576"/>
        <w:jc w:val="left"/>
      </w:pPr>
      <w:r>
        <w:rPr>
          <w:rFonts w:ascii="Times New Roman" w:hAnsi="Times New Roman"/>
          <w:b w:val="0"/>
          <w:i w:val="0"/>
          <w:sz w:val="26"/>
        </w:rPr>
        <w:t>19. Trung tâm Thông tin, Lưu trữ và Bảo tàng địa chất.</w:t>
      </w:r>
    </w:p>
    <w:p>
      <w:pPr>
        <w:spacing w:before="0" w:after="60" w:line="276" w:lineRule="auto"/>
        <w:ind w:firstLine="576"/>
        <w:jc w:val="left"/>
      </w:pPr>
      <w:r>
        <w:rPr>
          <w:rFonts w:ascii="Times New Roman" w:hAnsi="Times New Roman"/>
          <w:b w:val="0"/>
          <w:i w:val="0"/>
          <w:sz w:val="26"/>
        </w:rPr>
        <w:t>20. Trung tâm Phân tích và Kiểm định địa chất.</w:t>
      </w:r>
    </w:p>
    <w:p>
      <w:pPr>
        <w:spacing w:before="80" w:after="80" w:line="276" w:lineRule="auto"/>
        <w:ind w:firstLine="576"/>
        <w:jc w:val="left"/>
      </w:pPr>
      <w:r>
        <w:rPr>
          <w:rFonts w:ascii="Times New Roman" w:hAnsi="Times New Roman"/>
          <w:b w:val="0"/>
          <w:i w:val="0"/>
          <w:sz w:val="26"/>
        </w:rPr>
        <w:t>Các tổ chức quy định từ khoản 1 đến khoản 10 Điều này là tổ chức hành chính giúp Cục trưởng thực hiện chức năng quản lý nhà nước; các tổ chức quy định từ khoản 11 đến khoản 20 Điều này là đơn vị sự nghiệp công lập.</w:t>
      </w:r>
    </w:p>
    <w:p>
      <w:pPr>
        <w:spacing w:before="0" w:after="80" w:line="276" w:lineRule="auto"/>
        <w:ind w:firstLine="576"/>
        <w:jc w:val="left"/>
      </w:pPr>
      <w:r>
        <w:rPr>
          <w:rFonts w:ascii="Times New Roman" w:hAnsi="Times New Roman"/>
          <w:b w:val="0"/>
          <w:i w:val="0"/>
          <w:sz w:val="26"/>
        </w:rPr>
        <w:t>Văn phòng và các tổ chức quy định từ khoản 9 đến khoản 20 Điều này có con dấu và được mở tài khoản để hoạt động theo quy định của pháp luật.</w:t>
      </w:r>
    </w:p>
    <w:p>
      <w:pPr>
        <w:spacing w:before="0" w:after="240" w:line="276" w:lineRule="auto"/>
        <w:ind w:firstLine="576"/>
        <w:jc w:val="left"/>
      </w:pPr>
      <w:r>
        <w:rPr>
          <w:rFonts w:ascii="Times New Roman" w:hAnsi="Times New Roman"/>
          <w:b w:val="0"/>
          <w:i w:val="0"/>
          <w:sz w:val="26"/>
        </w:rPr>
        <w:t>Việc thành lập, tổ chức lại hoặc giải thể các đơn vị trực thuộc Cục do Bộ trưởng Bộ Công Thương xem xét và quyết định theo đề nghị của Cục trưởng.</w:t>
      </w:r>
    </w:p>
    <w:p>
      <w:pPr>
        <w:spacing w:before="0" w:after="120" w:line="276" w:lineRule="auto"/>
        <w:jc w:val="left"/>
      </w:pPr>
      <w:r>
        <w:rPr>
          <w:rFonts w:ascii="Times New Roman" w:hAnsi="Times New Roman"/>
          <w:b/>
          <w:i w:val="0"/>
          <w:sz w:val="26"/>
        </w:rPr>
        <w:t>Điều 4. Lãnh đạo Cục</w:t>
      </w:r>
    </w:p>
    <w:p>
      <w:pPr>
        <w:spacing w:before="0" w:after="80" w:line="276" w:lineRule="auto"/>
        <w:ind w:firstLine="576"/>
        <w:jc w:val="left"/>
      </w:pPr>
      <w:r>
        <w:rPr>
          <w:rFonts w:ascii="Times New Roman" w:hAnsi="Times New Roman"/>
          <w:b w:val="0"/>
          <w:i w:val="0"/>
          <w:sz w:val="26"/>
        </w:rPr>
        <w:t>1. Lãnh đạo Cục Địa chất và Khoáng sản Việt Nam gồm Cục trưởng và các Phó Cục trưởng.</w:t>
      </w:r>
    </w:p>
    <w:p>
      <w:pPr>
        <w:spacing w:before="0" w:after="80" w:line="276" w:lineRule="auto"/>
        <w:ind w:firstLine="576"/>
        <w:jc w:val="left"/>
      </w:pPr>
      <w:r>
        <w:rPr>
          <w:rFonts w:ascii="Times New Roman" w:hAnsi="Times New Roman"/>
          <w:b w:val="0"/>
          <w:i w:val="0"/>
          <w:sz w:val="26"/>
        </w:rPr>
        <w:t>2. Cục trưởng và các Phó Cục trưởng do Bộ trưởng Bộ Công Thương bổ nhiệm, miễn nhiệm, điều động, luân chuyển, khen thưởng, kỷ luật theo quy định của pháp luật.</w:t>
      </w:r>
    </w:p>
    <w:p>
      <w:pPr>
        <w:spacing w:before="0" w:after="80" w:line="276" w:lineRule="auto"/>
        <w:ind w:firstLine="576"/>
        <w:jc w:val="left"/>
      </w:pPr>
      <w:r>
        <w:rPr>
          <w:rFonts w:ascii="Times New Roman" w:hAnsi="Times New Roman"/>
          <w:b w:val="0"/>
          <w:i w:val="0"/>
          <w:sz w:val="26"/>
        </w:rPr>
        <w:t>3. Cục trưởng quy định chức năng, nhiệm vụ, quyền hạn, cơ cấu tổ chức của các đơn vị thuộc Cục; ban hành Quy chế tổ chức và hoạt động của Cục theo phân công, phân cấp và ủy quyền của Bộ Công Thương.</w:t>
      </w:r>
    </w:p>
    <w:p>
      <w:pPr>
        <w:spacing w:before="0" w:after="80" w:line="276" w:lineRule="auto"/>
        <w:ind w:firstLine="576"/>
        <w:jc w:val="left"/>
      </w:pPr>
      <w:r>
        <w:rPr>
          <w:rFonts w:ascii="Times New Roman" w:hAnsi="Times New Roman"/>
          <w:b w:val="0"/>
          <w:i w:val="0"/>
          <w:sz w:val="26"/>
        </w:rPr>
        <w:t>4. Cục trưởng tổ chức, thực hiện quản lý công chức, viên chức và người lao động của Cục theo quy định về phân công, phân cấp quản lý của Bộ Công Thương.</w:t>
      </w:r>
    </w:p>
    <w:p>
      <w:pPr>
        <w:spacing w:before="0" w:after="240" w:line="276" w:lineRule="auto"/>
        <w:ind w:firstLine="576"/>
        <w:jc w:val="left"/>
      </w:pPr>
      <w:r>
        <w:rPr>
          <w:rFonts w:ascii="Times New Roman" w:hAnsi="Times New Roman"/>
          <w:b w:val="0"/>
          <w:i w:val="0"/>
          <w:sz w:val="26"/>
        </w:rPr>
        <w:t>5. Cục trưởng chịu trách nhiệm trước Bộ trưởng Bộ Công Thương và trước pháp luật về toàn bộ hoạt động của Cục; Phó Cục trưởng chịu trách nhiệm trước Cục trưởng, Bộ trưởng và trước pháp luật về lĩnh vực, nhiệm vụ công tác được phân công.</w:t>
      </w:r>
    </w:p>
    <w:p>
      <w:pPr>
        <w:spacing w:before="0" w:after="120" w:line="276" w:lineRule="auto"/>
        <w:jc w:val="left"/>
      </w:pPr>
      <w:r>
        <w:rPr>
          <w:rFonts w:ascii="Times New Roman" w:hAnsi="Times New Roman"/>
          <w:b/>
          <w:i w:val="0"/>
          <w:sz w:val="26"/>
        </w:rPr>
        <w:t>Điều 5. Điều khoản chuyển tiếp</w:t>
      </w:r>
    </w:p>
    <w:p>
      <w:pPr>
        <w:spacing w:before="0" w:after="80" w:line="276" w:lineRule="auto"/>
        <w:ind w:firstLine="576"/>
        <w:jc w:val="left"/>
      </w:pPr>
      <w:r>
        <w:rPr>
          <w:rFonts w:ascii="Times New Roman" w:hAnsi="Times New Roman"/>
          <w:b w:val="0"/>
          <w:i w:val="0"/>
          <w:sz w:val="26"/>
        </w:rPr>
        <w:t>1. Cục Địa chất và Khoáng sản Việt Nam thực hiện chuyển tiếp đối với văn bản, giấy phép, quyết định, kết quả đã ban hành trong lĩnh vực địa chất và khoáng sản; hồ sơ, thủ tục hành chính đang giải quyết; nghĩa vụ tài chính; các chương trình, đề án, dự án và các nhiệm vụ khác về địa chất và khoáng sản được quy định tại Điều 4 Nghị quyết số 66.25/2026/NQ-CP ngày 04 tháng 9 năm 2026 của Chính phủ về xử lý khó khăn, vướng mắc trong việc chuyển chức năng, nhiệm vụ, quyền hạn quản lý nhà nước về khu công nghiệp, địa chất, khoáng sản theo quy định của pháp luật và phân công của Bộ trưởng Bộ Công Thương.</w:t>
      </w:r>
    </w:p>
    <w:p>
      <w:pPr>
        <w:spacing w:before="0" w:after="80" w:line="276" w:lineRule="auto"/>
        <w:ind w:firstLine="576"/>
        <w:jc w:val="left"/>
      </w:pPr>
      <w:r>
        <w:rPr>
          <w:rFonts w:ascii="Times New Roman" w:hAnsi="Times New Roman"/>
          <w:b w:val="0"/>
          <w:i w:val="0"/>
          <w:sz w:val="26"/>
        </w:rPr>
        <w:t>2. Các Chi cục và đơn vị sự nghiệp công lập trực thuộc Cục tiếp tục hoạt động theo quy định hiện hành cho đến khi Cục trưởng Cục Địa chất và Khoáng sản Việt Nam ban hành hoặc phê duyệt văn bản quy định chức năng, nhiệm vụ, quyền hạn và cơ cấu tổ chức của từng đơn vị.</w:t>
      </w:r>
    </w:p>
    <w:p>
      <w:pPr>
        <w:spacing w:before="0" w:after="240" w:line="276" w:lineRule="auto"/>
        <w:ind w:firstLine="576"/>
        <w:jc w:val="left"/>
      </w:pPr>
      <w:r>
        <w:rPr>
          <w:rFonts w:ascii="Times New Roman" w:hAnsi="Times New Roman"/>
          <w:b w:val="0"/>
          <w:i w:val="0"/>
          <w:sz w:val="26"/>
        </w:rPr>
        <w:t>3. Cục trưởng có trách nhiệm tổ chức tiếp nhận, bàn giao, sắp xếp tổ chức bộ máy, nhân sự, tài chính, tài sản, hồ sơ, cơ sở dữ liệu và các điều kiện bảo đảm hoạt động; bảo đảm quản lý nhà nước, giải quyết thủ tục hành chính và cung cấp dịch vụ công được liên tục, không gián đoạn.</w:t>
      </w:r>
    </w:p>
    <w:p>
      <w:pPr>
        <w:spacing w:before="0" w:after="120" w:line="276" w:lineRule="auto"/>
        <w:jc w:val="left"/>
      </w:pPr>
      <w:r>
        <w:rPr>
          <w:rFonts w:ascii="Times New Roman" w:hAnsi="Times New Roman"/>
          <w:b/>
          <w:i w:val="0"/>
          <w:sz w:val="26"/>
        </w:rPr>
        <w:t>Điều 6. Hiệu lực và trách nhiệm thi hành</w:t>
      </w:r>
    </w:p>
    <w:p>
      <w:pPr>
        <w:spacing w:before="0" w:after="80" w:line="276" w:lineRule="auto"/>
        <w:ind w:firstLine="576"/>
        <w:jc w:val="left"/>
      </w:pPr>
      <w:r>
        <w:rPr>
          <w:rFonts w:ascii="Times New Roman" w:hAnsi="Times New Roman"/>
          <w:b w:val="0"/>
          <w:i w:val="0"/>
          <w:sz w:val="26"/>
        </w:rPr>
        <w:t>1. Quyết định này có hiệu lực thi hành kể từ ngày 15 tháng 9 năm 2026.</w:t>
      </w:r>
    </w:p>
    <w:p>
      <w:pPr>
        <w:spacing w:before="0" w:after="320" w:line="276" w:lineRule="auto"/>
        <w:ind w:firstLine="576"/>
        <w:jc w:val="left"/>
      </w:pPr>
      <w:r>
        <w:rPr>
          <w:rFonts w:ascii="Times New Roman" w:hAnsi="Times New Roman"/>
          <w:b w:val="0"/>
          <w:i w:val="0"/>
          <w:sz w:val="26"/>
        </w:rPr>
        <w:t>2. Chánh Văn phòng Bộ, Vụ trưởng Vụ Tổ chức cán bộ, Cục trưởng Cục Địa chất và Khoáng sản Việt Nam, Thủ trưởng các đơn vị thuộc Bộ chịu trách nhiệm thi hành Quyết định này./.</w:t>
      </w:r>
    </w:p>
    <w:tbl>
      <w:tblPr>
        <w:tblW w:type="auto" w:w="0"/>
        <w:jc w:val="center"/>
        <w:tblLayout w:type="fixed"/>
        <w:tblLook w:firstColumn="1" w:firstRow="1" w:lastColumn="0" w:lastRow="0" w:noHBand="0" w:noVBand="1" w:val="04A0"/>
      </w:tblPr>
      <w:tblGrid>
        <w:gridCol w:w="4709"/>
        <w:gridCol w:w="4709"/>
      </w:tblGrid>
      <w:tr>
        <w:tc>
          <w:tcPr>
            <w:tcW w:type="dxa" w:w="4608"/>
            <w:tcBorders>
              <w:top w:val="none"/>
              <w:left w:val="none"/>
              <w:bottom w:val="none"/>
              <w:right w:val="none"/>
            </w:tcBorders>
          </w:tcPr>
          <w:p>
            <w:pPr>
              <w:spacing w:after="40"/>
            </w:pPr>
            <w:r>
              <w:rPr>
                <w:rFonts w:ascii="Times New Roman" w:hAnsi="Times New Roman"/>
                <w:b/>
                <w:i/>
                <w:sz w:val="22"/>
              </w:rPr>
              <w:t>Nơi nhận:</w:t>
              <w:br/>
            </w:r>
          </w:p>
          <w:p>
            <w:pPr>
              <w:spacing w:after="40" w:line="276" w:lineRule="auto"/>
            </w:pPr>
            <w:r>
              <w:rPr>
                <w:rFonts w:ascii="Times New Roman" w:hAnsi="Times New Roman"/>
                <w:sz w:val="22"/>
              </w:rPr>
              <w:t>- Như Điều 6;</w:t>
            </w:r>
          </w:p>
          <w:p>
            <w:pPr>
              <w:spacing w:after="40" w:line="276" w:lineRule="auto"/>
            </w:pPr>
            <w:r>
              <w:rPr>
                <w:rFonts w:ascii="Times New Roman" w:hAnsi="Times New Roman"/>
                <w:sz w:val="22"/>
              </w:rPr>
              <w:t>- Lãnh đạo Bộ;</w:t>
            </w:r>
          </w:p>
          <w:p>
            <w:pPr>
              <w:spacing w:after="40" w:line="276" w:lineRule="auto"/>
            </w:pPr>
            <w:r>
              <w:rPr>
                <w:rFonts w:ascii="Times New Roman" w:hAnsi="Times New Roman"/>
                <w:sz w:val="22"/>
              </w:rPr>
              <w:t>- Đảng ủy Bộ;</w:t>
            </w:r>
          </w:p>
          <w:p>
            <w:pPr>
              <w:spacing w:after="40" w:line="276" w:lineRule="auto"/>
            </w:pPr>
            <w:r>
              <w:rPr>
                <w:rFonts w:ascii="Times New Roman" w:hAnsi="Times New Roman"/>
                <w:sz w:val="22"/>
              </w:rPr>
              <w:t>- Cục ĐCKS;</w:t>
            </w:r>
          </w:p>
          <w:p>
            <w:pPr>
              <w:spacing w:after="40" w:line="276" w:lineRule="auto"/>
            </w:pPr>
            <w:r>
              <w:rPr>
                <w:rFonts w:ascii="Times New Roman" w:hAnsi="Times New Roman"/>
                <w:sz w:val="22"/>
              </w:rPr>
              <w:t>- Lưu: VT, TCCB.</w:t>
            </w:r>
          </w:p>
        </w:tc>
        <w:tc>
          <w:tcPr>
            <w:tcW w:type="dxa" w:w="5040"/>
            <w:tcBorders>
              <w:top w:val="none"/>
              <w:left w:val="none"/>
              <w:bottom w:val="none"/>
              <w:right w:val="none"/>
            </w:tcBorders>
          </w:tcPr>
          <w:p>
            <w:pPr>
              <w:spacing w:after="800"/>
              <w:jc w:val="center"/>
            </w:pPr>
            <w:r>
              <w:rPr>
                <w:rFonts w:ascii="Times New Roman" w:hAnsi="Times New Roman"/>
                <w:b/>
                <w:sz w:val="26"/>
              </w:rPr>
              <w:t>BỘ TRƯỞNG</w:t>
              <w:br/>
            </w:r>
          </w:p>
          <w:p>
            <w:pPr>
              <w:spacing w:after="0"/>
              <w:jc w:val="center"/>
            </w:pPr>
            <w:r>
              <w:rPr>
                <w:rFonts w:ascii="Times New Roman" w:hAnsi="Times New Roman"/>
                <w:b/>
                <w:sz w:val="26"/>
              </w:rPr>
              <w:t>Lê Mạnh Hùng</w:t>
            </w:r>
          </w:p>
        </w:tc>
      </w:tr>
    </w:tbl>
    <w:sectPr w:rsidR="00FC693F" w:rsidRPr="0006063C" w:rsidSect="00034616">
      <w:pgSz w:w="12240" w:h="15840"/>
      <w:pgMar w:top="1138" w:right="1411" w:bottom="1138"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80"/>
    </w:pPr>
    <w:rPr>
      <w:rFonts w:ascii="Times New Roman" w:hAnsi="Times New Roman"/>
      <w:color w:val="000000"/>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