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F6A0D" w:rsidRPr="006F6A0D" w:rsidTr="0005617F">
        <w:tc>
          <w:tcPr>
            <w:tcW w:w="3227" w:type="dxa"/>
          </w:tcPr>
          <w:p w:rsidR="0005617F" w:rsidRPr="006F6A0D" w:rsidRDefault="00533B7B" w:rsidP="0005617F">
            <w:pPr>
              <w:jc w:val="center"/>
              <w:rPr>
                <w:rFonts w:ascii="Times New Roman" w:hAnsi="Times New Roman" w:cs="Times New Roman"/>
                <w:b/>
                <w:sz w:val="26"/>
                <w:szCs w:val="28"/>
              </w:rPr>
            </w:pPr>
            <w:r w:rsidRPr="006F6A0D">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2AC25A5A" wp14:editId="7D10FA98">
                      <wp:simplePos x="0" y="0"/>
                      <wp:positionH relativeFrom="column">
                        <wp:posOffset>748665</wp:posOffset>
                      </wp:positionH>
                      <wp:positionV relativeFrom="paragraph">
                        <wp:posOffset>218164</wp:posOffset>
                      </wp:positionV>
                      <wp:extent cx="413468"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413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0CDEC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17.2pt" to="9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" strokecolor="#4579b8 [3044]"/>
                  </w:pict>
                </mc:Fallback>
              </mc:AlternateContent>
            </w:r>
            <w:r w:rsidR="0005617F" w:rsidRPr="006F6A0D">
              <w:rPr>
                <w:rFonts w:ascii="Times New Roman" w:hAnsi="Times New Roman" w:cs="Times New Roman"/>
                <w:b/>
                <w:sz w:val="26"/>
                <w:szCs w:val="28"/>
              </w:rPr>
              <w:t>BỘ CÔNG AN</w:t>
            </w:r>
          </w:p>
          <w:p w:rsidR="00533B7B" w:rsidRPr="006F6A0D" w:rsidRDefault="00533B7B" w:rsidP="0005617F">
            <w:pPr>
              <w:jc w:val="center"/>
              <w:rPr>
                <w:rFonts w:ascii="Times New Roman" w:hAnsi="Times New Roman" w:cs="Times New Roman"/>
                <w:b/>
                <w:sz w:val="26"/>
                <w:szCs w:val="28"/>
              </w:rPr>
            </w:pPr>
          </w:p>
          <w:p w:rsidR="00533B7B" w:rsidRPr="006F6A0D" w:rsidRDefault="00533B7B" w:rsidP="005C6C3D">
            <w:pPr>
              <w:spacing w:before="120"/>
              <w:jc w:val="center"/>
              <w:rPr>
                <w:rFonts w:ascii="Times New Roman" w:hAnsi="Times New Roman" w:cs="Times New Roman"/>
                <w:sz w:val="28"/>
                <w:szCs w:val="28"/>
              </w:rPr>
            </w:pPr>
            <w:r w:rsidRPr="006F6A0D">
              <w:rPr>
                <w:rFonts w:ascii="Times New Roman" w:hAnsi="Times New Roman" w:cs="Times New Roman"/>
                <w:sz w:val="26"/>
                <w:szCs w:val="28"/>
              </w:rPr>
              <w:t>Số:              /TTr-</w:t>
            </w:r>
            <w:r w:rsidR="005C6C3D" w:rsidRPr="006F6A0D">
              <w:rPr>
                <w:rFonts w:ascii="Times New Roman" w:hAnsi="Times New Roman" w:cs="Times New Roman"/>
                <w:sz w:val="26"/>
                <w:szCs w:val="28"/>
              </w:rPr>
              <w:t>BCA</w:t>
            </w:r>
          </w:p>
        </w:tc>
        <w:tc>
          <w:tcPr>
            <w:tcW w:w="6095" w:type="dxa"/>
          </w:tcPr>
          <w:p w:rsidR="0005617F" w:rsidRPr="006F6A0D" w:rsidRDefault="00043E8E" w:rsidP="0005617F">
            <w:pPr>
              <w:jc w:val="center"/>
              <w:rPr>
                <w:rFonts w:ascii="Times New Roman" w:hAnsi="Times New Roman" w:cs="Times New Roman"/>
                <w:b/>
                <w:sz w:val="24"/>
                <w:szCs w:val="28"/>
              </w:rPr>
            </w:pPr>
            <w:r w:rsidRPr="006F6A0D">
              <w:rPr>
                <w:rFonts w:ascii="Times New Roman" w:hAnsi="Times New Roman" w:cs="Times New Roman"/>
                <w:b/>
                <w:sz w:val="26"/>
                <w:szCs w:val="28"/>
              </w:rPr>
              <w:t xml:space="preserve">  </w:t>
            </w:r>
            <w:r w:rsidR="0005617F" w:rsidRPr="006F6A0D">
              <w:rPr>
                <w:rFonts w:ascii="Times New Roman" w:hAnsi="Times New Roman" w:cs="Times New Roman"/>
                <w:b/>
                <w:sz w:val="24"/>
                <w:szCs w:val="28"/>
              </w:rPr>
              <w:t>CỘNG HÒA XÃ HỘI CHỦ NGHĨA VIỆT NAM</w:t>
            </w:r>
          </w:p>
          <w:p w:rsidR="0005617F" w:rsidRPr="006F6A0D" w:rsidRDefault="0005617F" w:rsidP="0005617F">
            <w:pPr>
              <w:jc w:val="center"/>
              <w:rPr>
                <w:rFonts w:ascii="Times New Roman" w:hAnsi="Times New Roman" w:cs="Times New Roman"/>
                <w:b/>
                <w:sz w:val="26"/>
                <w:szCs w:val="28"/>
              </w:rPr>
            </w:pPr>
            <w:r w:rsidRPr="006F6A0D">
              <w:rPr>
                <w:rFonts w:ascii="Times New Roman" w:hAnsi="Times New Roman" w:cs="Times New Roman"/>
                <w:b/>
                <w:sz w:val="26"/>
                <w:szCs w:val="28"/>
              </w:rPr>
              <w:t>Độc lậ</w:t>
            </w:r>
            <w:r w:rsidR="006C6537" w:rsidRPr="006F6A0D">
              <w:rPr>
                <w:rFonts w:ascii="Times New Roman" w:hAnsi="Times New Roman" w:cs="Times New Roman"/>
                <w:b/>
                <w:sz w:val="26"/>
                <w:szCs w:val="28"/>
              </w:rPr>
              <w:t>p -</w:t>
            </w:r>
            <w:r w:rsidRPr="006F6A0D">
              <w:rPr>
                <w:rFonts w:ascii="Times New Roman" w:hAnsi="Times New Roman" w:cs="Times New Roman"/>
                <w:b/>
                <w:sz w:val="26"/>
                <w:szCs w:val="28"/>
              </w:rPr>
              <w:t xml:space="preserve"> Tự</w:t>
            </w:r>
            <w:r w:rsidR="006C6537" w:rsidRPr="006F6A0D">
              <w:rPr>
                <w:rFonts w:ascii="Times New Roman" w:hAnsi="Times New Roman" w:cs="Times New Roman"/>
                <w:b/>
                <w:sz w:val="26"/>
                <w:szCs w:val="28"/>
              </w:rPr>
              <w:t xml:space="preserve"> do -</w:t>
            </w:r>
            <w:r w:rsidRPr="006F6A0D">
              <w:rPr>
                <w:rFonts w:ascii="Times New Roman" w:hAnsi="Times New Roman" w:cs="Times New Roman"/>
                <w:b/>
                <w:sz w:val="26"/>
                <w:szCs w:val="28"/>
              </w:rPr>
              <w:t xml:space="preserve"> Hạnh phúc</w:t>
            </w:r>
          </w:p>
          <w:p w:rsidR="0005617F" w:rsidRPr="007724EA" w:rsidRDefault="00533B7B" w:rsidP="00533B7B">
            <w:pPr>
              <w:spacing w:before="120"/>
              <w:jc w:val="center"/>
              <w:rPr>
                <w:rFonts w:ascii="Times New Roman" w:hAnsi="Times New Roman" w:cs="Times New Roman"/>
                <w:i/>
                <w:sz w:val="28"/>
                <w:szCs w:val="28"/>
              </w:rPr>
            </w:pPr>
            <w:r w:rsidRPr="006F6A0D">
              <w:rPr>
                <w:rFonts w:ascii="Times New Roman" w:hAnsi="Times New Roman" w:cs="Times New Roman"/>
                <w:i/>
                <w:noProof/>
                <w:sz w:val="26"/>
                <w:szCs w:val="28"/>
              </w:rPr>
              <mc:AlternateContent>
                <mc:Choice Requires="wps">
                  <w:drawing>
                    <wp:anchor distT="0" distB="0" distL="114300" distR="114300" simplePos="0" relativeHeight="251660288" behindDoc="0" locked="0" layoutInCell="1" allowOverlap="1" wp14:anchorId="0F6A9980" wp14:editId="078F75C8">
                      <wp:simplePos x="0" y="0"/>
                      <wp:positionH relativeFrom="column">
                        <wp:posOffset>854322</wp:posOffset>
                      </wp:positionH>
                      <wp:positionV relativeFrom="paragraph">
                        <wp:posOffset>13363</wp:posOffset>
                      </wp:positionV>
                      <wp:extent cx="2051437"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0514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502E1D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5pt,1.05pt" to="22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" strokecolor="#4579b8 [3044]"/>
                  </w:pict>
                </mc:Fallback>
              </mc:AlternateContent>
            </w:r>
            <w:r w:rsidR="00043E8E" w:rsidRPr="006F6A0D">
              <w:rPr>
                <w:rFonts w:ascii="Times New Roman" w:hAnsi="Times New Roman" w:cs="Times New Roman"/>
                <w:i/>
                <w:sz w:val="26"/>
                <w:szCs w:val="28"/>
              </w:rPr>
              <w:t xml:space="preserve">     </w:t>
            </w:r>
            <w:r w:rsidR="0005617F" w:rsidRPr="007724EA">
              <w:rPr>
                <w:rFonts w:ascii="Times New Roman" w:hAnsi="Times New Roman" w:cs="Times New Roman"/>
                <w:i/>
                <w:sz w:val="28"/>
                <w:szCs w:val="28"/>
              </w:rPr>
              <w:t xml:space="preserve">Hà Nội, ngày  </w:t>
            </w:r>
            <w:r w:rsidR="007724EA" w:rsidRPr="007724EA">
              <w:rPr>
                <w:rFonts w:ascii="Times New Roman" w:hAnsi="Times New Roman" w:cs="Times New Roman"/>
                <w:i/>
                <w:sz w:val="28"/>
                <w:szCs w:val="28"/>
              </w:rPr>
              <w:t xml:space="preserve"> </w:t>
            </w:r>
            <w:r w:rsidR="0005617F" w:rsidRPr="007724EA">
              <w:rPr>
                <w:rFonts w:ascii="Times New Roman" w:hAnsi="Times New Roman" w:cs="Times New Roman"/>
                <w:i/>
                <w:sz w:val="28"/>
                <w:szCs w:val="28"/>
              </w:rPr>
              <w:t xml:space="preserve"> </w:t>
            </w:r>
            <w:r w:rsidR="001A0979">
              <w:rPr>
                <w:rFonts w:ascii="Times New Roman" w:hAnsi="Times New Roman" w:cs="Times New Roman"/>
                <w:i/>
                <w:sz w:val="28"/>
                <w:szCs w:val="28"/>
              </w:rPr>
              <w:t xml:space="preserve">   </w:t>
            </w:r>
            <w:r w:rsidR="0005617F" w:rsidRPr="007724EA">
              <w:rPr>
                <w:rFonts w:ascii="Times New Roman" w:hAnsi="Times New Roman" w:cs="Times New Roman"/>
                <w:i/>
                <w:sz w:val="28"/>
                <w:szCs w:val="28"/>
              </w:rPr>
              <w:t xml:space="preserve"> tháng    </w:t>
            </w:r>
            <w:r w:rsidR="007724EA" w:rsidRPr="007724EA">
              <w:rPr>
                <w:rFonts w:ascii="Times New Roman" w:hAnsi="Times New Roman" w:cs="Times New Roman"/>
                <w:i/>
                <w:sz w:val="28"/>
                <w:szCs w:val="28"/>
              </w:rPr>
              <w:t xml:space="preserve"> </w:t>
            </w:r>
            <w:r w:rsidR="001A0979">
              <w:rPr>
                <w:rFonts w:ascii="Times New Roman" w:hAnsi="Times New Roman" w:cs="Times New Roman"/>
                <w:i/>
                <w:sz w:val="28"/>
                <w:szCs w:val="28"/>
              </w:rPr>
              <w:t xml:space="preserve"> </w:t>
            </w:r>
            <w:r w:rsidR="0005617F" w:rsidRPr="007724EA">
              <w:rPr>
                <w:rFonts w:ascii="Times New Roman" w:hAnsi="Times New Roman" w:cs="Times New Roman"/>
                <w:i/>
                <w:sz w:val="28"/>
                <w:szCs w:val="28"/>
              </w:rPr>
              <w:t xml:space="preserve"> năm 2025</w:t>
            </w:r>
          </w:p>
        </w:tc>
      </w:tr>
    </w:tbl>
    <w:p w:rsidR="00F35ABA" w:rsidRPr="006F6A0D" w:rsidRDefault="00F35ABA" w:rsidP="004B2B41">
      <w:pPr>
        <w:tabs>
          <w:tab w:val="left" w:pos="3494"/>
        </w:tabs>
        <w:spacing w:before="240" w:after="0" w:line="240" w:lineRule="auto"/>
        <w:rPr>
          <w:rFonts w:ascii="Times New Roman" w:hAnsi="Times New Roman" w:cs="Times New Roman"/>
          <w:sz w:val="28"/>
          <w:szCs w:val="28"/>
        </w:rPr>
      </w:pPr>
      <w:r w:rsidRPr="006F6A0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5A62890" wp14:editId="726EEAE9">
                <wp:simplePos x="0" y="0"/>
                <wp:positionH relativeFrom="column">
                  <wp:posOffset>196214</wp:posOffset>
                </wp:positionH>
                <wp:positionV relativeFrom="paragraph">
                  <wp:posOffset>186690</wp:posOffset>
                </wp:positionV>
                <wp:extent cx="120967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09675"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5ABA" w:rsidRPr="00F35ABA" w:rsidRDefault="00F35ABA" w:rsidP="00F35ABA">
                            <w:pPr>
                              <w:jc w:val="center"/>
                              <w:rPr>
                                <w:rFonts w:ascii="Times New Roman" w:hAnsi="Times New Roman" w:cs="Times New Roman"/>
                                <w:sz w:val="28"/>
                                <w:szCs w:val="28"/>
                              </w:rPr>
                            </w:pPr>
                            <w:r>
                              <w:rPr>
                                <w:rFonts w:ascii="Times New Roman" w:hAnsi="Times New Roman" w:cs="Times New Roman"/>
                                <w:sz w:val="28"/>
                                <w:szCs w:val="28"/>
                              </w:rPr>
                              <w:t xml:space="preserve">DỰ THẢO </w:t>
                            </w:r>
                            <w:r w:rsidR="00B0750A">
                              <w:rPr>
                                <w:rFonts w:ascii="Times New Roman" w:hAnsi="Times New Roman" w:cs="Times New Roman"/>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15.45pt;margin-top:14.7pt;width:95.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" fillcolor="white [3201]" strokecolor="black [3213]">
                <v:textbox>
                  <w:txbxContent>
                    <w:p w:rsidR="00F35ABA" w:rsidRPr="00F35ABA" w:rsidRDefault="00F35ABA" w:rsidP="00F35ABA">
                      <w:pPr>
                        <w:jc w:val="center"/>
                        <w:rPr>
                          <w:rFonts w:ascii="Times New Roman" w:hAnsi="Times New Roman" w:cs="Times New Roman"/>
                          <w:sz w:val="28"/>
                          <w:szCs w:val="28"/>
                        </w:rPr>
                      </w:pPr>
                      <w:r>
                        <w:rPr>
                          <w:rFonts w:ascii="Times New Roman" w:hAnsi="Times New Roman" w:cs="Times New Roman"/>
                          <w:sz w:val="28"/>
                          <w:szCs w:val="28"/>
                        </w:rPr>
                        <w:t xml:space="preserve">DỰ THẢO </w:t>
                      </w:r>
                      <w:r w:rsidR="00B0750A">
                        <w:rPr>
                          <w:rFonts w:ascii="Times New Roman" w:hAnsi="Times New Roman" w:cs="Times New Roman"/>
                          <w:sz w:val="28"/>
                          <w:szCs w:val="28"/>
                        </w:rPr>
                        <w:t>1</w:t>
                      </w:r>
                    </w:p>
                  </w:txbxContent>
                </v:textbox>
              </v:rect>
            </w:pict>
          </mc:Fallback>
        </mc:AlternateContent>
      </w:r>
      <w:r w:rsidR="00533B7B" w:rsidRPr="006F6A0D">
        <w:rPr>
          <w:rFonts w:ascii="Times New Roman" w:hAnsi="Times New Roman" w:cs="Times New Roman"/>
          <w:sz w:val="28"/>
          <w:szCs w:val="28"/>
        </w:rPr>
        <w:tab/>
      </w:r>
    </w:p>
    <w:p w:rsidR="00DE34ED" w:rsidRPr="006F6A0D" w:rsidRDefault="00533B7B" w:rsidP="00F35ABA">
      <w:pPr>
        <w:tabs>
          <w:tab w:val="left" w:pos="3494"/>
        </w:tabs>
        <w:spacing w:before="240" w:after="0" w:line="240" w:lineRule="auto"/>
        <w:jc w:val="center"/>
        <w:rPr>
          <w:rFonts w:ascii="Times New Roman" w:hAnsi="Times New Roman" w:cs="Times New Roman"/>
          <w:b/>
          <w:sz w:val="28"/>
          <w:szCs w:val="28"/>
        </w:rPr>
      </w:pPr>
      <w:r w:rsidRPr="006F6A0D">
        <w:rPr>
          <w:rFonts w:ascii="Times New Roman" w:hAnsi="Times New Roman" w:cs="Times New Roman"/>
          <w:b/>
          <w:sz w:val="28"/>
          <w:szCs w:val="28"/>
        </w:rPr>
        <w:t>TỜ TRÌNH</w:t>
      </w:r>
    </w:p>
    <w:p w:rsidR="00B0750A" w:rsidRDefault="00DE34ED" w:rsidP="00DE34ED">
      <w:pPr>
        <w:tabs>
          <w:tab w:val="left" w:pos="3494"/>
        </w:tabs>
        <w:spacing w:after="0" w:line="240" w:lineRule="auto"/>
        <w:jc w:val="center"/>
        <w:rPr>
          <w:rFonts w:ascii="Times New Roman" w:hAnsi="Times New Roman" w:cs="Times New Roman"/>
          <w:b/>
          <w:sz w:val="28"/>
          <w:szCs w:val="28"/>
        </w:rPr>
      </w:pPr>
      <w:r w:rsidRPr="006F6A0D">
        <w:rPr>
          <w:rFonts w:ascii="Times New Roman" w:hAnsi="Times New Roman" w:cs="Times New Roman"/>
          <w:b/>
          <w:sz w:val="28"/>
          <w:szCs w:val="28"/>
        </w:rPr>
        <w:t xml:space="preserve">Dự thảo Quyết định của Thủ tướng Chính phủ </w:t>
      </w:r>
      <w:r w:rsidR="00B0750A">
        <w:rPr>
          <w:rFonts w:ascii="Times New Roman" w:hAnsi="Times New Roman" w:cs="Times New Roman"/>
          <w:b/>
          <w:sz w:val="28"/>
          <w:szCs w:val="28"/>
        </w:rPr>
        <w:t xml:space="preserve">sửa đổi, bổ sung </w:t>
      </w:r>
    </w:p>
    <w:p w:rsidR="00B0750A" w:rsidRDefault="00B0750A" w:rsidP="00DE34ED">
      <w:pPr>
        <w:tabs>
          <w:tab w:val="left" w:pos="349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một số điều của Quyết định số 09/2023/QĐ-TTg ngày 12/4/2023 </w:t>
      </w:r>
    </w:p>
    <w:p w:rsidR="00B0750A" w:rsidRDefault="00B0750A" w:rsidP="00DE34ED">
      <w:pPr>
        <w:tabs>
          <w:tab w:val="left" w:pos="349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của Thủ tướng Chính phủ quy định trình tự, thủ tục, thẩm quyền, </w:t>
      </w:r>
    </w:p>
    <w:p w:rsidR="00B0750A" w:rsidRDefault="00B0750A" w:rsidP="00DE34ED">
      <w:pPr>
        <w:tabs>
          <w:tab w:val="left" w:pos="349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cấp và quản lý thẻ đi lại doanh nhân APEC </w:t>
      </w:r>
    </w:p>
    <w:p w:rsidR="00DE34ED" w:rsidRDefault="004B2B41" w:rsidP="004B2B41">
      <w:pPr>
        <w:spacing w:before="360" w:after="0" w:line="240" w:lineRule="auto"/>
        <w:jc w:val="center"/>
        <w:rPr>
          <w:rFonts w:ascii="Times New Roman" w:hAnsi="Times New Roman" w:cs="Times New Roman"/>
          <w:sz w:val="28"/>
          <w:szCs w:val="28"/>
        </w:rPr>
      </w:pPr>
      <w:r w:rsidRPr="006F6A0D">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436DB3E" wp14:editId="678590E5">
                <wp:simplePos x="0" y="0"/>
                <wp:positionH relativeFrom="column">
                  <wp:posOffset>2086222</wp:posOffset>
                </wp:positionH>
                <wp:positionV relativeFrom="paragraph">
                  <wp:posOffset>29845</wp:posOffset>
                </wp:positionV>
                <wp:extent cx="16376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25pt,2.35pt" to="293.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" strokecolor="black [3040]"/>
            </w:pict>
          </mc:Fallback>
        </mc:AlternateContent>
      </w:r>
      <w:r w:rsidR="00DE34ED" w:rsidRPr="006F6A0D">
        <w:rPr>
          <w:rFonts w:ascii="Times New Roman" w:hAnsi="Times New Roman" w:cs="Times New Roman"/>
          <w:sz w:val="28"/>
          <w:szCs w:val="28"/>
        </w:rPr>
        <w:t>Kính gửi: Thủ tướng Chính phủ</w:t>
      </w:r>
    </w:p>
    <w:p w:rsidR="00B0750A" w:rsidRPr="00B0750A" w:rsidRDefault="00B0750A" w:rsidP="004B2B41">
      <w:pPr>
        <w:spacing w:before="360" w:after="0" w:line="240" w:lineRule="auto"/>
        <w:jc w:val="center"/>
        <w:rPr>
          <w:rFonts w:ascii="Times New Roman" w:hAnsi="Times New Roman" w:cs="Times New Roman"/>
          <w:sz w:val="2"/>
          <w:szCs w:val="2"/>
        </w:rPr>
      </w:pPr>
    </w:p>
    <w:p w:rsidR="00B0750A" w:rsidRDefault="00A66FA2" w:rsidP="007724EA">
      <w:pPr>
        <w:spacing w:before="80" w:after="80" w:line="240" w:lineRule="auto"/>
        <w:ind w:firstLine="720"/>
        <w:jc w:val="both"/>
        <w:rPr>
          <w:rFonts w:ascii="Times New Roman" w:hAnsi="Times New Roman" w:cs="Times New Roman"/>
          <w:sz w:val="28"/>
          <w:szCs w:val="28"/>
        </w:rPr>
      </w:pPr>
      <w:r w:rsidRPr="006F6A0D">
        <w:rPr>
          <w:rFonts w:ascii="Times New Roman" w:hAnsi="Times New Roman" w:cs="Times New Roman"/>
          <w:sz w:val="28"/>
          <w:szCs w:val="28"/>
        </w:rPr>
        <w:t>Thực hiện quy định của Luật Ban hành văn bản quy phạm pháp luậ</w:t>
      </w:r>
      <w:r w:rsidR="00235EBB" w:rsidRPr="006F6A0D">
        <w:rPr>
          <w:rFonts w:ascii="Times New Roman" w:hAnsi="Times New Roman" w:cs="Times New Roman"/>
          <w:sz w:val="28"/>
          <w:szCs w:val="28"/>
        </w:rPr>
        <w:t>t năm 202</w:t>
      </w:r>
      <w:r w:rsidRPr="006F6A0D">
        <w:rPr>
          <w:rFonts w:ascii="Times New Roman" w:hAnsi="Times New Roman" w:cs="Times New Roman"/>
          <w:sz w:val="28"/>
          <w:szCs w:val="28"/>
        </w:rPr>
        <w:t xml:space="preserve">5, </w:t>
      </w:r>
      <w:r w:rsidR="00B0750A">
        <w:rPr>
          <w:rFonts w:ascii="Times New Roman" w:hAnsi="Times New Roman" w:cs="Times New Roman"/>
          <w:sz w:val="28"/>
          <w:szCs w:val="28"/>
        </w:rPr>
        <w:t>Nghị định số 78/2025/NĐ-CP ngày 01 tháng 4 năm 2025 quy định chi tiết một số điều và biện pháp để tổ chức, hướng dẫn thi hành Luật Ban hành văn bản quy phạm pháp luật và Nghị định số 187/2025/NĐ-CP ngày 01 tháng 7 năm 2025 của Chính phủ sửa đổi, bổ sung một số điều của Nghị định số 78/2025/NĐ-CP ngày 01 tháng 4 năm 2025 quy định chi tiết một số điều và biện pháp để tổ chức, hướng dẫn thi hành Luật Ban hành văn bản quy phạm pháp luật, Bộ Công an kính trình Thủ tướng Chính phủ dự thảo Quyết định sửa đổi, bổ sung một số điều của Quyết định số 09/2023/QĐ-TTg ngày 12/4/2023 của Thủ tướng Chính phủ quy định trình tự, thủ tục, thẩm quyền, cấp và quản lý thẻ đi lại doanh nhân APEC như sau:</w:t>
      </w:r>
    </w:p>
    <w:p w:rsidR="00B0750A" w:rsidRPr="00B0750A" w:rsidRDefault="00B0750A" w:rsidP="00B0750A">
      <w:pPr>
        <w:spacing w:before="80" w:after="8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B0750A">
        <w:rPr>
          <w:rFonts w:ascii="Times New Roman" w:hAnsi="Times New Roman" w:cs="Times New Roman"/>
          <w:b/>
          <w:sz w:val="28"/>
          <w:szCs w:val="28"/>
        </w:rPr>
        <w:t>I. SỰ CẦN THIẾT BAN HÀNH QUYẾT ĐỊNH</w:t>
      </w:r>
    </w:p>
    <w:p w:rsidR="00B0750A" w:rsidRPr="00B0750A" w:rsidRDefault="00B0750A" w:rsidP="00B0750A">
      <w:pPr>
        <w:spacing w:before="80" w:after="80" w:line="240" w:lineRule="auto"/>
        <w:jc w:val="both"/>
        <w:rPr>
          <w:rFonts w:ascii="Times New Roman" w:hAnsi="Times New Roman" w:cs="Times New Roman"/>
          <w:b/>
          <w:sz w:val="28"/>
          <w:szCs w:val="28"/>
        </w:rPr>
      </w:pPr>
      <w:r w:rsidRPr="00B0750A">
        <w:rPr>
          <w:rFonts w:ascii="Times New Roman" w:hAnsi="Times New Roman" w:cs="Times New Roman"/>
          <w:b/>
          <w:sz w:val="28"/>
          <w:szCs w:val="28"/>
        </w:rPr>
        <w:tab/>
        <w:t>1. Cơ sở chính trị, pháp lý</w:t>
      </w:r>
    </w:p>
    <w:p w:rsidR="00EF7A1F" w:rsidRDefault="00EF7A1F"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 Trước tình hình này, Bộ Chính trị đã ban hành Nghị quyết số 57-NQ/TW ngày 22/12/2024 về đột phá phát triển khoa học, công nghệ, đổi mới sáng tạo và chuyển đổi số quốc gia, theo đó “</w:t>
      </w:r>
      <w:r>
        <w:rPr>
          <w:rFonts w:ascii="Times New Roman" w:hAnsi="Times New Roman" w:cs="Times New Roman"/>
          <w:i/>
          <w:sz w:val="28"/>
          <w:szCs w:val="28"/>
        </w:rPr>
        <w:t>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Thể chế, nhân lực, hạ tầng, dữ liệu và công nghệ chiến lược là những nội dung trọng tâm, cốt lõi, trong đó thể chế là điều kiện tiên quyết, cần hoàn thiện và đi trước một bước</w:t>
      </w:r>
      <w:r>
        <w:rPr>
          <w:rFonts w:ascii="Times New Roman" w:hAnsi="Times New Roman" w:cs="Times New Roman"/>
          <w:sz w:val="28"/>
          <w:szCs w:val="28"/>
        </w:rPr>
        <w:t>”.</w:t>
      </w:r>
    </w:p>
    <w:p w:rsidR="00EF7A1F" w:rsidRDefault="00EF7A1F" w:rsidP="007724EA">
      <w:pPr>
        <w:spacing w:before="80" w:after="8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Ngày 24/01/2025, Bộ Chính trị ban hành Nghị quyết số 59-NQ/TW về hội nhập quốc tế trong tình hình mới, đánh dấu bước ngoặt lịch sử trong tiến trình hội nhập quốc tế của đất nước, khẳng định vai trò của hội nhập quốc tế trong sự nghiệp xây dựng và bảo vệ Tổ quốc để Việt Nam vững bước vào kỷ </w:t>
      </w:r>
      <w:r>
        <w:rPr>
          <w:rFonts w:ascii="Times New Roman" w:hAnsi="Times New Roman" w:cs="Times New Roman"/>
          <w:sz w:val="28"/>
          <w:szCs w:val="28"/>
        </w:rPr>
        <w:lastRenderedPageBreak/>
        <w:t xml:space="preserve">nguyên mới -  kỷ nguyên vươn mình của dân tộc, mục tiêu là </w:t>
      </w:r>
      <w:r>
        <w:rPr>
          <w:rFonts w:ascii="Times New Roman" w:hAnsi="Times New Roman" w:cs="Times New Roman"/>
          <w:i/>
          <w:sz w:val="28"/>
          <w:szCs w:val="28"/>
        </w:rPr>
        <w:t>nâng cao hiệu quả hội nhập kinh tế quốc tế phục vụ xây dựng nền kinh tế độc lập, tự chủ, tự lực, tự cường, đẩy mạnh cơ cấu lại nền kinh tế, đổi mới mô hình tăng trưởng và thúc đẩy chuyển đổi số. Tiếp tục hoàn thiện thể chế nâng cao năng lực thực thi cam kết quốc tế.</w:t>
      </w:r>
    </w:p>
    <w:p w:rsidR="00EF7A1F" w:rsidRPr="00FA1152" w:rsidRDefault="00EF7A1F" w:rsidP="007724EA">
      <w:pPr>
        <w:spacing w:before="80" w:after="80" w:line="240" w:lineRule="auto"/>
        <w:ind w:firstLine="720"/>
        <w:jc w:val="both"/>
        <w:rPr>
          <w:rFonts w:ascii="Times New Roman" w:hAnsi="Times New Roman" w:cs="Times New Roman"/>
          <w:i/>
          <w:spacing w:val="-2"/>
          <w:sz w:val="28"/>
          <w:szCs w:val="28"/>
        </w:rPr>
      </w:pPr>
      <w:r w:rsidRPr="00FA1152">
        <w:rPr>
          <w:rFonts w:ascii="Times New Roman" w:hAnsi="Times New Roman" w:cs="Times New Roman"/>
          <w:spacing w:val="-2"/>
          <w:sz w:val="28"/>
          <w:szCs w:val="28"/>
        </w:rPr>
        <w:t>- Trong bối cảnh thế giới đang có những thay đổi mang tính thời đại, để đất nước vững bước vào kỷ nguyên mới - kỷ nguyên vươn mình phát triển bứt phá, giàu mạnh, hùng cường dưới sự lãnh đạo của Đảng, cùng với việc thực hiện cuộc cách mạng về tinh gọn tổ chức bộ máy, phấn đấu tăng trưởng kinh tế “hai con số”, công tác xây dựng và thi hành pháp luật phải được đổi mới căn bản, tạo động lực mạnh mẽ cho sự phát triển nhanh và bền vững của đất nước, Nghị quyết số 66-NQ/TW</w:t>
      </w:r>
      <w:r w:rsidR="000A6E40">
        <w:rPr>
          <w:rFonts w:ascii="Times New Roman" w:hAnsi="Times New Roman" w:cs="Times New Roman"/>
          <w:spacing w:val="-2"/>
          <w:sz w:val="28"/>
          <w:szCs w:val="28"/>
        </w:rPr>
        <w:t xml:space="preserve"> ngày 30/4/2025 của Bộ Chính trị</w:t>
      </w:r>
      <w:r w:rsidRPr="00FA1152">
        <w:rPr>
          <w:rFonts w:ascii="Times New Roman" w:hAnsi="Times New Roman" w:cs="Times New Roman"/>
          <w:spacing w:val="-2"/>
          <w:sz w:val="28"/>
          <w:szCs w:val="28"/>
        </w:rPr>
        <w:t xml:space="preserve"> về đổi mới công tác xây dựng và thi hành pháp luật đáp ứng yêu cầu phát triển đất nước trong kỷ nguyên mới đã nêu rõ “</w:t>
      </w:r>
      <w:r w:rsidRPr="00FA1152">
        <w:rPr>
          <w:rFonts w:ascii="Times New Roman" w:hAnsi="Times New Roman" w:cs="Times New Roman"/>
          <w:i/>
          <w:spacing w:val="-2"/>
          <w:sz w:val="28"/>
          <w:szCs w:val="28"/>
        </w:rPr>
        <w:t>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 xây dựng pháp luật phải bám sát thực tiễn, “đứng trên mảnh đất thực tiễn của Việt Nam”.</w:t>
      </w:r>
    </w:p>
    <w:p w:rsidR="00FA1152" w:rsidRDefault="00EF7A1F" w:rsidP="007724EA">
      <w:pPr>
        <w:spacing w:before="80" w:after="8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w:t>
      </w:r>
      <w:r w:rsidR="002A4440">
        <w:rPr>
          <w:rFonts w:ascii="Times New Roman" w:hAnsi="Times New Roman" w:cs="Times New Roman"/>
          <w:sz w:val="28"/>
          <w:szCs w:val="28"/>
        </w:rPr>
        <w:t>Ngày 04/5/2025, Bộ Chính trị đã ban hành Nghị quyết số 68-NQ/TW về phát triển kinh tế tư nhân, trong đó xác định: “</w:t>
      </w:r>
      <w:r w:rsidR="002A4440">
        <w:rPr>
          <w:rFonts w:ascii="Times New Roman" w:hAnsi="Times New Roman" w:cs="Times New Roman"/>
          <w:i/>
          <w:sz w:val="28"/>
          <w:szCs w:val="28"/>
        </w:rPr>
        <w:t xml:space="preserve">Phát triển kinh tế tư nhân nhanh, bền vững, hiệu quả, chất lượng cao vừa là nhiệm vụ trọng tâm, cấp bách, vừa mang tính chiến lược lâu dài; cần được cụ thể hóa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 </w:t>
      </w:r>
      <w:r>
        <w:rPr>
          <w:rFonts w:ascii="Times New Roman" w:hAnsi="Times New Roman" w:cs="Times New Roman"/>
          <w:i/>
          <w:sz w:val="28"/>
          <w:szCs w:val="28"/>
        </w:rPr>
        <w:t xml:space="preserve">  </w:t>
      </w:r>
    </w:p>
    <w:p w:rsidR="00FA1152" w:rsidRDefault="00FA1152"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Quốc hội đã thông qua </w:t>
      </w:r>
      <w:r w:rsidR="000A6E40" w:rsidRPr="000A6E40">
        <w:rPr>
          <w:rFonts w:ascii="Times New Roman" w:hAnsi="Times New Roman" w:cs="Times New Roman"/>
          <w:sz w:val="28"/>
          <w:szCs w:val="28"/>
        </w:rPr>
        <w:t>Nghị quyết số 1943/2025/QH15 của Quốc hội về việc sửa đổi, bổ sung một số điều của Hiến pháp năm 2013</w:t>
      </w:r>
      <w:r>
        <w:rPr>
          <w:rFonts w:ascii="Times New Roman" w:hAnsi="Times New Roman" w:cs="Times New Roman"/>
          <w:sz w:val="28"/>
          <w:szCs w:val="28"/>
        </w:rPr>
        <w:t xml:space="preserve"> và Luật Tổ chức chính quyền địa phương 2015, chính thức quy định việc tổ chức chính quyền địa phương 02 cấp (cấp tỉnh và cấp xã) từ ngày 01/7/2025, sau khi ban hành Luật Tổ chức chính quyền địa phương năm 2025 (sửa đổi) và có hiệu lực thi hành. Cụ thể, Nghị quyết này đã cho phép chuyển đổi mô hình chính quyền địa phương từ 03 cấp xuống còn 02 cấp.</w:t>
      </w:r>
    </w:p>
    <w:p w:rsidR="00B0750A" w:rsidRPr="00A9112B" w:rsidRDefault="00FA1152"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9112B">
        <w:rPr>
          <w:rFonts w:ascii="Times New Roman" w:hAnsi="Times New Roman" w:cs="Times New Roman"/>
          <w:sz w:val="28"/>
          <w:szCs w:val="28"/>
        </w:rPr>
        <w:t xml:space="preserve">Ngày 26/3/2025, Chính phủ đã ban hành Nghị quyết số 66/NQ-CP về chương trình cắt giảm, đơn giản hóa thủ tục hành chính liên quan đến hoạt động sản </w:t>
      </w:r>
      <w:r w:rsidR="000A6E40">
        <w:rPr>
          <w:rFonts w:ascii="Times New Roman" w:hAnsi="Times New Roman" w:cs="Times New Roman"/>
          <w:sz w:val="28"/>
          <w:szCs w:val="28"/>
        </w:rPr>
        <w:t>x</w:t>
      </w:r>
      <w:r w:rsidR="00A9112B">
        <w:rPr>
          <w:rFonts w:ascii="Times New Roman" w:hAnsi="Times New Roman" w:cs="Times New Roman"/>
          <w:sz w:val="28"/>
          <w:szCs w:val="28"/>
        </w:rPr>
        <w:t>uất, kinh doanh năm 2025 và 2026, trong đó nêu rõ quan điểm “</w:t>
      </w:r>
      <w:r w:rsidR="00A9112B">
        <w:rPr>
          <w:rFonts w:ascii="Times New Roman" w:hAnsi="Times New Roman" w:cs="Times New Roman"/>
          <w:i/>
          <w:sz w:val="28"/>
          <w:szCs w:val="28"/>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gắn kết chặt chẽ với ứng dụng khoa học công nghệ, chuyển đổi số, sắp xếp, tinh gọn tổ chức bộ  máy” </w:t>
      </w:r>
      <w:r w:rsidR="00A9112B">
        <w:rPr>
          <w:rFonts w:ascii="Times New Roman" w:hAnsi="Times New Roman" w:cs="Times New Roman"/>
          <w:sz w:val="28"/>
          <w:szCs w:val="28"/>
        </w:rPr>
        <w:t>và mục tiêu “</w:t>
      </w:r>
      <w:r w:rsidR="00A9112B">
        <w:rPr>
          <w:rFonts w:ascii="Times New Roman" w:hAnsi="Times New Roman" w:cs="Times New Roman"/>
          <w:i/>
          <w:sz w:val="28"/>
          <w:szCs w:val="28"/>
        </w:rPr>
        <w:t xml:space="preserve">Cắt giảm, đơn giản hóa ngay thủ tục hành chính liên quan đến hoạt động sản xuất, kinh doanh bảo đảm bãi bỏ ít nhất 30% điều kiện đầu tư kinh </w:t>
      </w:r>
      <w:r w:rsidR="00A9112B">
        <w:rPr>
          <w:rFonts w:ascii="Times New Roman" w:hAnsi="Times New Roman" w:cs="Times New Roman"/>
          <w:i/>
          <w:sz w:val="28"/>
          <w:szCs w:val="28"/>
        </w:rPr>
        <w:lastRenderedPageBreak/>
        <w:t>doanh không cần thiết; giảm ít nhất 30% thời gian giải quyết của các thủ tục hành chính, 30% chi phí tuân thủ thủ tục hành chính”</w:t>
      </w:r>
      <w:r w:rsidR="00A9112B">
        <w:rPr>
          <w:rFonts w:ascii="Times New Roman" w:hAnsi="Times New Roman" w:cs="Times New Roman"/>
          <w:sz w:val="28"/>
          <w:szCs w:val="28"/>
        </w:rPr>
        <w:t>.</w:t>
      </w:r>
    </w:p>
    <w:p w:rsidR="00A66FA2" w:rsidRDefault="00A66FA2" w:rsidP="007724EA">
      <w:pPr>
        <w:spacing w:before="80" w:after="80" w:line="240" w:lineRule="auto"/>
        <w:ind w:firstLine="720"/>
        <w:jc w:val="both"/>
        <w:rPr>
          <w:rFonts w:ascii="Times New Roman" w:hAnsi="Times New Roman" w:cs="Times New Roman"/>
          <w:b/>
          <w:sz w:val="28"/>
          <w:szCs w:val="28"/>
        </w:rPr>
      </w:pPr>
      <w:r w:rsidRPr="006F6A0D">
        <w:rPr>
          <w:rFonts w:ascii="Times New Roman" w:hAnsi="Times New Roman" w:cs="Times New Roman"/>
          <w:b/>
          <w:sz w:val="28"/>
          <w:szCs w:val="28"/>
        </w:rPr>
        <w:t>2. Cơ sở thực tiễn</w:t>
      </w:r>
    </w:p>
    <w:p w:rsidR="00726C32" w:rsidRPr="00726C32" w:rsidRDefault="00726C32" w:rsidP="00726C32">
      <w:pPr>
        <w:spacing w:after="0" w:line="240" w:lineRule="auto"/>
        <w:ind w:firstLine="720"/>
        <w:jc w:val="both"/>
        <w:rPr>
          <w:rFonts w:ascii="Times New Roman" w:hAnsi="Times New Roman" w:cs="Times New Roman"/>
          <w:sz w:val="28"/>
          <w:szCs w:val="28"/>
        </w:rPr>
      </w:pPr>
      <w:r w:rsidRPr="00726C32">
        <w:rPr>
          <w:rFonts w:ascii="Times New Roman" w:hAnsi="Times New Roman" w:cs="Times New Roman"/>
          <w:sz w:val="28"/>
          <w:szCs w:val="28"/>
        </w:rPr>
        <w:t>- Theo khoản 1 Điều 10 Quyết định 09, lãnh đạo của các tổ chức tín dụng muốn cấp thẻ ABTC thì phải được Ngân hàng Nhà nước cho phép sử dụng thẻ. Tuy nhiên, Ngân hàng Nhà nước chỉ ra văn bản chấp thuận cho phép sử dụng thẻ ABTC cho các tổ chức tín dụng là doanh nghiệp nhà nước (bao gồm 04 ngân hàng: Agribank, BIDV, Vietcombank, Vietinbank), không đồng ý ra văn bản cho phép sử dụng thẻ đối với lãnh đạo của các tổ chức tín dụng không phải doanh nghiệp nhà nước. Việc này đã gây khó khăn, bức xúc, ảnh hưởng đến hoạt động kinh doanh cho các tổ chức tín dụng không phải doanh nghiệp nhà nước. Ngoài ra, Quyết định 09 hiện chưa quy định về trình tự, thủ tục cấp văn bản cho phép sử dụng thẻ đối với doanh nhân đang làm việc tại các tổ chức tín dụng không phải doanh nghiệp nhà nước.</w:t>
      </w:r>
    </w:p>
    <w:p w:rsidR="00726C32" w:rsidRPr="00726C32" w:rsidRDefault="00726C32" w:rsidP="00726C32">
      <w:pPr>
        <w:spacing w:after="0" w:line="240" w:lineRule="auto"/>
        <w:ind w:firstLine="720"/>
        <w:jc w:val="both"/>
        <w:rPr>
          <w:rFonts w:ascii="Times New Roman" w:hAnsi="Times New Roman" w:cs="Times New Roman"/>
          <w:sz w:val="28"/>
          <w:szCs w:val="28"/>
        </w:rPr>
      </w:pPr>
      <w:r w:rsidRPr="00726C32">
        <w:rPr>
          <w:rFonts w:ascii="Times New Roman" w:hAnsi="Times New Roman" w:cs="Times New Roman"/>
          <w:sz w:val="28"/>
          <w:szCs w:val="28"/>
        </w:rPr>
        <w:t>- Thiếu sự liên thông, chia sẻ dữ liệu giữa các cơ quan: việc trao đổi thông tin giữa Ủy ban nhân dân tỉnh, thành phố trực thuộc trung ương với Bộ Công an và các bộ ngành liên quan đôi khi còn chậm, ảnh hưởng tiến độ xét duyệt và quản lý thẻ. Việc nắm thông tin về danh sách doanh nhân được sử dụng thẻ ABTC thuộc thẩm quyền quản lý của tỉnh chưa được kịp thời, chủ yếu qua báo cáo của doanh nghiệp. Việc trao đổi thông tin từ cơ quan có thẩm quyền với địa phương chưa được thường xuyên.</w:t>
      </w:r>
    </w:p>
    <w:p w:rsidR="00726C32" w:rsidRPr="00726C32" w:rsidRDefault="00726C32" w:rsidP="00726C32">
      <w:pPr>
        <w:spacing w:after="0" w:line="240" w:lineRule="auto"/>
        <w:ind w:firstLine="720"/>
        <w:jc w:val="both"/>
        <w:rPr>
          <w:rFonts w:ascii="Times New Roman" w:hAnsi="Times New Roman" w:cs="Times New Roman"/>
          <w:sz w:val="28"/>
          <w:szCs w:val="28"/>
        </w:rPr>
      </w:pPr>
      <w:r w:rsidRPr="00726C32">
        <w:rPr>
          <w:rFonts w:ascii="Times New Roman" w:hAnsi="Times New Roman" w:cs="Times New Roman"/>
          <w:sz w:val="28"/>
          <w:szCs w:val="28"/>
        </w:rPr>
        <w:t>- Chưa có quy định hoặc hướng dẫn về biểu mẫu báo cáo thống nhất đối với việc báo cáo tình hình thực hiện nghĩa vụ thuế và bảo hiểm xã hội. Mõi doanh nghiệp tự trình bày báo cáo theo cách khác nhau, định dạng không đồng nhất, dẫn đến khó khăn trong việc kiểm tra, đối chiếu và tổng hợp thông tin. Cán bộ thụ lỹ hồ sơ phải tổng hợp thủ công, việc này không chỉ mất nhiều thời gian, dễ phát sinh sai sót mà còn làm tăng áp lực cho bộ phận xử lý, nhất là trong giai đoạn cao điểm tiếp nhận hồ sơ.</w:t>
      </w:r>
    </w:p>
    <w:p w:rsidR="00726C32" w:rsidRDefault="00726C32" w:rsidP="00726C32">
      <w:pPr>
        <w:spacing w:after="0" w:line="240" w:lineRule="auto"/>
        <w:ind w:firstLine="720"/>
        <w:jc w:val="both"/>
        <w:rPr>
          <w:rFonts w:ascii="Times New Roman" w:hAnsi="Times New Roman" w:cs="Times New Roman"/>
          <w:sz w:val="28"/>
          <w:szCs w:val="28"/>
        </w:rPr>
      </w:pPr>
      <w:r w:rsidRPr="00726C32">
        <w:rPr>
          <w:rFonts w:ascii="Times New Roman" w:hAnsi="Times New Roman" w:cs="Times New Roman"/>
          <w:sz w:val="28"/>
          <w:szCs w:val="28"/>
        </w:rPr>
        <w:t>- Tại Điều 12 Thủ tục cấp văn bản cho phép sử dụng thẻ ABTC đối với doanh nhân quy định tại khoản 3 Điều 9 Quyết định 09 chưa quy định cơ quan chuyên môn của Ủy ban nhân dân tỉnh, thành phố được đề nghị doanh nghiệp cung cấp thêm các giấy tờ, tài liệu liên quan để xem xét khi phát hiện có dấu hiệu nghi vấn; đối với trường hợp bổ sung hồ sơ không quy định thời hạn doanh nghiệp bổ sung hồ sơ. Việc này dẫn đến tình trạng tồn đọng hồ sơ, khó khăn trong việc lưu trữ và giải quyết thủ tục.</w:t>
      </w:r>
    </w:p>
    <w:p w:rsidR="00A9112B" w:rsidRPr="00A9112B" w:rsidRDefault="00A9112B" w:rsidP="00A9112B">
      <w:pPr>
        <w:spacing w:after="0" w:line="240" w:lineRule="auto"/>
        <w:ind w:firstLine="720"/>
        <w:jc w:val="both"/>
        <w:rPr>
          <w:rFonts w:ascii="Times New Roman" w:hAnsi="Times New Roman" w:cs="Times New Roman"/>
          <w:sz w:val="28"/>
          <w:szCs w:val="28"/>
        </w:rPr>
      </w:pPr>
    </w:p>
    <w:p w:rsidR="00726C32" w:rsidRPr="00726C32" w:rsidRDefault="00726C32" w:rsidP="00726C32">
      <w:pPr>
        <w:spacing w:after="0" w:line="240" w:lineRule="auto"/>
        <w:ind w:firstLine="720"/>
        <w:jc w:val="both"/>
        <w:rPr>
          <w:rFonts w:ascii="Times New Roman" w:hAnsi="Times New Roman" w:cs="Times New Roman"/>
          <w:sz w:val="28"/>
          <w:szCs w:val="28"/>
        </w:rPr>
      </w:pPr>
      <w:r w:rsidRPr="00726C32">
        <w:rPr>
          <w:rFonts w:ascii="Times New Roman" w:hAnsi="Times New Roman" w:cs="Times New Roman"/>
          <w:sz w:val="28"/>
          <w:szCs w:val="28"/>
        </w:rPr>
        <w:t xml:space="preserve">- Tại khoản 5 Điều 27 Quyết định 09 về trách nhiệm của các cơ quan, tổ chức, doanh nghiệp, cá nhân liên quan có quy định định kỳ hàng năm doanh nghiệp báo cáo tình hình sử dụng thẻ ABTC gửi về cơ quan chuyên môn của Ủy ban nhân dân tỉnh, thành phố trước ngày 31 tháng 12. Tuy nhiên, các doanh nghiệp chưa nghiêm chỉnh chấp hành việc thực hiện báo cáo nêu trên do chưa có biện pháp chế tài hoặc quy định về việc cơ quan chuyên môn được dừng tiếp nhận giải quyết thủ tục trong thời hạn bao lâu đối với trường hợp doanh nghiệp vi phạm. </w:t>
      </w:r>
    </w:p>
    <w:p w:rsidR="00726C32" w:rsidRPr="00726C32" w:rsidRDefault="00726C32" w:rsidP="00726C32">
      <w:pPr>
        <w:spacing w:after="0" w:line="240" w:lineRule="auto"/>
        <w:jc w:val="both"/>
        <w:rPr>
          <w:rFonts w:ascii="Times New Roman" w:hAnsi="Times New Roman" w:cs="Times New Roman"/>
          <w:sz w:val="28"/>
          <w:szCs w:val="28"/>
        </w:rPr>
      </w:pPr>
      <w:r w:rsidRPr="00726C32">
        <w:rPr>
          <w:rFonts w:ascii="Times New Roman" w:hAnsi="Times New Roman" w:cs="Times New Roman"/>
          <w:sz w:val="28"/>
          <w:szCs w:val="28"/>
        </w:rPr>
        <w:lastRenderedPageBreak/>
        <w:tab/>
        <w:t>- Khoản 2 Điều 18 Quyết định 09 quy định trường hợp hủy giá trị sử dụng thẻ ABTC “</w:t>
      </w:r>
      <w:r w:rsidRPr="00726C32">
        <w:rPr>
          <w:rFonts w:ascii="Times New Roman" w:hAnsi="Times New Roman" w:cs="Times New Roman"/>
          <w:i/>
          <w:sz w:val="28"/>
          <w:szCs w:val="28"/>
        </w:rPr>
        <w:t>Doanh nhân không còn giữ các chức vụ hoặc thay đổi chức vụ nêu tại Điều 9 Quyết định này</w:t>
      </w:r>
      <w:r w:rsidRPr="00726C32">
        <w:rPr>
          <w:rFonts w:ascii="Times New Roman" w:hAnsi="Times New Roman" w:cs="Times New Roman"/>
          <w:sz w:val="28"/>
          <w:szCs w:val="28"/>
        </w:rPr>
        <w:t>”. Thực tế ở một số doanh nghiệp, có trường hợp thẻ ABTC đã được cấp đang còn giá trị sử dụng nhưng doanh nhân thay đổi chức vụ so với chức vụ khi đề nghị cấp thẻ và vẫn thuộc đối tượng sử dụng thẻ ABTC theo quy định của Điều 9 Quyết định 09 (ví dụ từ Giám đốc sang Chủ tịch Hội đồng quàn trị trong cùng một doanh nghiệp), nếu hủy giá trị sử dụng thẻ ABTC hiện hành và yêu cầu nộp lại hồ sơ cấp thẻ theo chức vụ mới thì sẽ gây khó khăn cho doanh nhân, doanh nghiệp.</w:t>
      </w:r>
    </w:p>
    <w:p w:rsidR="00726C32" w:rsidRPr="00726C32" w:rsidRDefault="00726C32" w:rsidP="00726C32">
      <w:pPr>
        <w:spacing w:after="0" w:line="240" w:lineRule="auto"/>
        <w:jc w:val="both"/>
        <w:rPr>
          <w:rFonts w:ascii="Times New Roman" w:hAnsi="Times New Roman" w:cs="Times New Roman"/>
          <w:sz w:val="28"/>
          <w:szCs w:val="28"/>
        </w:rPr>
      </w:pPr>
      <w:r w:rsidRPr="00726C32">
        <w:rPr>
          <w:rFonts w:ascii="Times New Roman" w:hAnsi="Times New Roman" w:cs="Times New Roman"/>
          <w:sz w:val="28"/>
          <w:szCs w:val="28"/>
        </w:rPr>
        <w:tab/>
        <w:t>- Quy định về đối tượng và điều kiện cho phép doanh nhân được sử dụng thẻ ABTC theo hướng ngày càng mở rộng đã tạo điều kiện thuận lợi cho doanh nhân, doanh nghiệp, song cũng dễ bị các đối tượng lợi dụng để xin cấp thẻ ABTC cho người không có thực quyền điều hành để xuất cảnh, cư trú, lao động bất hợp pháp ở nước ngoài; tình trạng làm giả giấy tờ, hợp đồng, thổi phồng doanh số để hợp thức hóa hồ sơ.</w:t>
      </w:r>
    </w:p>
    <w:p w:rsidR="00726C32" w:rsidRPr="00726C32" w:rsidRDefault="00726C32" w:rsidP="00726C32">
      <w:pPr>
        <w:spacing w:after="0" w:line="240" w:lineRule="auto"/>
        <w:jc w:val="both"/>
        <w:rPr>
          <w:rFonts w:ascii="Times New Roman" w:hAnsi="Times New Roman" w:cs="Times New Roman"/>
          <w:sz w:val="28"/>
          <w:szCs w:val="28"/>
        </w:rPr>
      </w:pPr>
      <w:r w:rsidRPr="00726C32">
        <w:rPr>
          <w:rFonts w:ascii="Times New Roman" w:hAnsi="Times New Roman" w:cs="Times New Roman"/>
          <w:sz w:val="28"/>
          <w:szCs w:val="28"/>
        </w:rPr>
        <w:tab/>
        <w:t>- Nguồn nhân lực hiện nay chủ yếu là cán bộ kiêm nhiệm, chưa được đào tạo chuyên sâu về nghiệp vụ liên quan đến thẻ ABTC. Bên cạnh đó, chưa có phần mềm chuyên dụng phục vụ cho việc tiếp nhận và quản lý hồ sơ; việc xử lý dữ liệu còn mang tính thủ công, phân tán, gây khó khăn trong công tác theo dõi (một số cơ quan hải quan chưa được tích hợp trên hệ thống IO, việc lấy ý kiến xác minh vẫn phải thực hiện thông qua văn bản giấy, dẫn đến mất nhiều thời gian và ảnh hưởng đến tiến độ xử lý hồ sơ). Đồng thời, chưa có nguồn kinh phí riêng để phục vụ cho hoạt động truyền thông, tập huấn, cũng như phối hợp triển khai các nhiệm vụ chuyên môn liên quan.</w:t>
      </w:r>
    </w:p>
    <w:p w:rsidR="00726C32" w:rsidRPr="00726C32" w:rsidRDefault="00726C32" w:rsidP="00726C32">
      <w:pPr>
        <w:spacing w:after="0" w:line="240" w:lineRule="auto"/>
        <w:jc w:val="both"/>
        <w:rPr>
          <w:rFonts w:ascii="Times New Roman" w:hAnsi="Times New Roman" w:cs="Times New Roman"/>
          <w:sz w:val="28"/>
          <w:szCs w:val="28"/>
        </w:rPr>
      </w:pPr>
      <w:r w:rsidRPr="00726C32">
        <w:rPr>
          <w:rFonts w:ascii="Times New Roman" w:hAnsi="Times New Roman" w:cs="Times New Roman"/>
          <w:sz w:val="28"/>
          <w:szCs w:val="28"/>
        </w:rPr>
        <w:tab/>
        <w:t>- Bộ Chính trị đã ban hành Nghị quyết số 57-NQ/TW ngày 22/12/2024 về đột phá phát triển khoa học, công nghệ, đổi mới sáng tạo và chuyển đổi số quốc gia, Nghị quyết số 59-NQ/TW ngày 24/01/2025 về Hội nhập quốc tế trong tình hình mới, Nghị quyết số 68-NQ/TW ngày 04/5/2025 về phát triển kinh tế tư nhân. Ngoài ra, Quốc hội đã ban hành Luật Hỗ trợ doanh nghiệp nhỏ và vừa nên đề nghị sửa đổi, bổ sung Điều 8 Quyết đị</w:t>
      </w:r>
      <w:r w:rsidR="00A9112B">
        <w:rPr>
          <w:rFonts w:ascii="Times New Roman" w:hAnsi="Times New Roman" w:cs="Times New Roman"/>
          <w:sz w:val="28"/>
          <w:szCs w:val="28"/>
        </w:rPr>
        <w:t xml:space="preserve">nh </w:t>
      </w:r>
      <w:r w:rsidRPr="00726C32">
        <w:rPr>
          <w:rFonts w:ascii="Times New Roman" w:hAnsi="Times New Roman" w:cs="Times New Roman"/>
          <w:sz w:val="28"/>
          <w:szCs w:val="28"/>
        </w:rPr>
        <w:t xml:space="preserve">09 theo hướng đơn giản hóa các yêu cầu, điều kiện được cấp thẻ ABTC đối với doanh nghiệp nhỏ và vừa, doanh nghiệp khởi nghiệp, đổi mới sáng tạo…  </w:t>
      </w:r>
    </w:p>
    <w:p w:rsidR="00726C32" w:rsidRDefault="00726C32" w:rsidP="00726C32">
      <w:pPr>
        <w:spacing w:after="0" w:line="240" w:lineRule="auto"/>
        <w:jc w:val="both"/>
        <w:rPr>
          <w:rFonts w:ascii="Times New Roman" w:hAnsi="Times New Roman" w:cs="Times New Roman"/>
          <w:sz w:val="28"/>
          <w:szCs w:val="28"/>
        </w:rPr>
      </w:pPr>
      <w:r w:rsidRPr="00726C32">
        <w:rPr>
          <w:rFonts w:ascii="Times New Roman" w:hAnsi="Times New Roman" w:cs="Times New Roman"/>
          <w:sz w:val="28"/>
          <w:szCs w:val="28"/>
        </w:rPr>
        <w:tab/>
        <w:t>- Một số doanh nghiệp đề nghị cấp thẻ ABTC cho doanh nhân không hoạt động thực tế tại địa phương do đã cho thuê nhà xưởng hoặc chỉ đăng ký kinh doanh trên hệ thống nhưng doanh nghiệp, doanh nhân lại làm việc ở địa phương khác gây khó khăn cho công tác xác minh, thẩm định của lực lượng chức năng. Quá trình tiếp nhận, kiểm tra, thẩm định, xác minh và trao đổi kết quả giữa các cơ quan tham mưu cấp thẻ ABTC chịu áp lực về thời gian tính theo thủ tục hành chính trong khi lực lượng làm nhiệm vụ còn mỏng nhưng nhu cầu cấp thẻ ABTC của doanh  nghiệp, doanh nhân ngày càng gia tăng.</w:t>
      </w:r>
    </w:p>
    <w:p w:rsidR="00726C32" w:rsidRPr="00726C32" w:rsidRDefault="00726C32" w:rsidP="00726C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Xuất phát từ những cơ sở chính trị, pháp lý và thực tiễn nêu trên đặt ra yêu cầu phải sửa đổi, bổ sung một số điều của Quyết định số 09/2023/QĐ-TTg ngày 12/4/2023 của Thủ tướng Chính phủ quy định trình tự, thủ tục, thẩm quyền, cấp và quản lý thẻ đi lại doanh nhân APEC nhằm hoàn thiện hệ thống </w:t>
      </w:r>
      <w:r>
        <w:rPr>
          <w:rFonts w:ascii="Times New Roman" w:hAnsi="Times New Roman" w:cs="Times New Roman"/>
          <w:sz w:val="28"/>
          <w:szCs w:val="28"/>
        </w:rPr>
        <w:lastRenderedPageBreak/>
        <w:t>văn bản về quản lý xuất nhập cảnh của công dân Việt Nam theo hướng đổi mới, cải cách, đơn giản hóa điều kiện, cắt giảm thành phần hồ sơ thủ tục hành chính, giảm thời gian xử lý.</w:t>
      </w:r>
    </w:p>
    <w:p w:rsidR="00A66FA2" w:rsidRPr="006F6A0D" w:rsidRDefault="00A66FA2" w:rsidP="007724EA">
      <w:pPr>
        <w:spacing w:before="80" w:after="80" w:line="240" w:lineRule="auto"/>
        <w:ind w:firstLine="720"/>
        <w:jc w:val="both"/>
        <w:rPr>
          <w:rFonts w:ascii="Times New Roman" w:hAnsi="Times New Roman" w:cs="Times New Roman"/>
          <w:b/>
          <w:sz w:val="28"/>
          <w:szCs w:val="28"/>
        </w:rPr>
      </w:pPr>
      <w:r w:rsidRPr="006F6A0D">
        <w:rPr>
          <w:rFonts w:ascii="Times New Roman" w:hAnsi="Times New Roman" w:cs="Times New Roman"/>
          <w:b/>
          <w:sz w:val="28"/>
          <w:szCs w:val="28"/>
        </w:rPr>
        <w:t>II. MỤC ĐÍCH BAN HÀNH, QUAN ĐIỂM XÂY DỰNG DỰ THẢO</w:t>
      </w:r>
      <w:r w:rsidR="00895168">
        <w:rPr>
          <w:rFonts w:ascii="Times New Roman" w:hAnsi="Times New Roman" w:cs="Times New Roman"/>
          <w:b/>
          <w:sz w:val="28"/>
          <w:szCs w:val="28"/>
        </w:rPr>
        <w:t xml:space="preserve"> QUYẾT ĐỊNH</w:t>
      </w:r>
    </w:p>
    <w:p w:rsidR="00FF0A07" w:rsidRDefault="00895168" w:rsidP="00895168">
      <w:pPr>
        <w:spacing w:before="80" w:after="8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FF0A07" w:rsidRPr="00895168">
        <w:rPr>
          <w:rFonts w:ascii="Times New Roman" w:hAnsi="Times New Roman" w:cs="Times New Roman"/>
          <w:b/>
          <w:sz w:val="28"/>
          <w:szCs w:val="28"/>
        </w:rPr>
        <w:t xml:space="preserve">Mục đích </w:t>
      </w:r>
      <w:r>
        <w:rPr>
          <w:rFonts w:ascii="Times New Roman" w:hAnsi="Times New Roman" w:cs="Times New Roman"/>
          <w:b/>
          <w:sz w:val="28"/>
          <w:szCs w:val="28"/>
        </w:rPr>
        <w:t>ban hành Quyết định</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Thể chế hóa chủ trương, chính sách của Đảng và Nhà nước về việc hoàn thiện thể chế, chính sách nhằm tạo thuận lợi cho cơ quan, tổ chức, doanh nghiệp và doanh nhân khi tham gia Chương trình thẻ đi lại doanh nhân APEC.</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Khắc phục các vướng mắc, bất cập trong quá trình triển khai thực tiễn, đặc biệt là những nội dung chưa phù hợp với yêu cầu cải cách hành chính, chưa đồng bộ với các quy định pháp luật hiện hành.</w:t>
      </w:r>
    </w:p>
    <w:p w:rsidR="00895168" w:rsidRDefault="00895168" w:rsidP="00895168">
      <w:pPr>
        <w:tabs>
          <w:tab w:val="left" w:pos="720"/>
          <w:tab w:val="left" w:pos="1050"/>
        </w:tabs>
        <w:spacing w:before="40" w:after="40" w:line="264" w:lineRule="auto"/>
        <w:jc w:val="both"/>
        <w:rPr>
          <w:rFonts w:ascii="Times New Roman" w:hAnsi="Times New Roman"/>
          <w:sz w:val="28"/>
          <w:szCs w:val="28"/>
        </w:rPr>
      </w:pPr>
      <w:r>
        <w:rPr>
          <w:rFonts w:ascii="Times New Roman" w:hAnsi="Times New Roman" w:cs="Times New Roman"/>
          <w:sz w:val="28"/>
          <w:szCs w:val="28"/>
        </w:rPr>
        <w:tab/>
        <w:t xml:space="preserve">- </w:t>
      </w:r>
      <w:r>
        <w:rPr>
          <w:rFonts w:ascii="Times New Roman" w:hAnsi="Times New Roman"/>
          <w:sz w:val="28"/>
          <w:szCs w:val="28"/>
        </w:rPr>
        <w:t>Tạo điều kiện thuận lợi cho cơ quan, tổ chức, doanh nghiệp, cá nhân, giảm bớt chi phí tuân thủ khi thực hiện thủ tục hành chính, góp phần nâng cao hiệu lực, hiệu quả và bảo đảm mục tiêu quản lý nhà nước, lấy người dân và doanh nghiệp làm trung tâm phục vụ.</w:t>
      </w:r>
    </w:p>
    <w:p w:rsidR="00895168" w:rsidRPr="00895168" w:rsidRDefault="00895168" w:rsidP="00895168">
      <w:pPr>
        <w:tabs>
          <w:tab w:val="left" w:pos="720"/>
          <w:tab w:val="left" w:pos="1050"/>
        </w:tabs>
        <w:spacing w:before="40" w:after="40" w:line="264" w:lineRule="auto"/>
        <w:jc w:val="both"/>
        <w:rPr>
          <w:rFonts w:ascii="Times New Roman" w:hAnsi="Times New Roman"/>
          <w:b/>
          <w:sz w:val="28"/>
          <w:szCs w:val="28"/>
        </w:rPr>
      </w:pPr>
      <w:r w:rsidRPr="00895168">
        <w:rPr>
          <w:rFonts w:ascii="Times New Roman" w:hAnsi="Times New Roman"/>
          <w:b/>
          <w:sz w:val="28"/>
          <w:szCs w:val="28"/>
        </w:rPr>
        <w:tab/>
        <w:t>2. Quan điểm xây dựng Quyết định</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Việc xây dựng Quyết định sửa đổi, bổ sung một số điều của Quyết định số 09/2023/QĐ-TTg được thực hiện trên cơ sở quán triệt các quan điểm sau:</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Thứ nhất, bảo đảm phù hợp với đường lối, chủ trương của Đảng, chính sách, pháp luật của Nhà nước về đẩy mạnh cải cách hành chính, cắt giảm điều kiện và ứng dụng mạnh mẽ công nghệ số trong hoạt động quản lý nhà nước.</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Thứ hai, lấy người dân và doanh nghiệp làm trung tâm phục vụ trong hoạt động xây dựng chính sách, tạo điều kiện thuận lợi tối đa cho cơ quan, tổ chức, doanh nghiệp khi đề nghị cấp thẻ đi lại doanh nhân APEC.</w:t>
      </w:r>
    </w:p>
    <w:p w:rsidR="00895168" w:rsidRDefault="00895168" w:rsidP="00895168">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Thứ ba, đảm bảo tính hợp hiến, hợp pháp, thống nhất, đồng bộ của hệ thống pháp luật; phù hợp với quy định của pháp luật về xuất nhập cảnh và các điều ước quốc tế mà Việt Nam là thành viên.</w:t>
      </w:r>
    </w:p>
    <w:p w:rsidR="00895168" w:rsidRDefault="00895168" w:rsidP="00895168">
      <w:pPr>
        <w:spacing w:before="80" w:after="8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C341A">
        <w:rPr>
          <w:rFonts w:ascii="Times New Roman" w:hAnsi="Times New Roman" w:cs="Times New Roman"/>
          <w:b/>
          <w:sz w:val="28"/>
          <w:szCs w:val="28"/>
        </w:rPr>
        <w:t xml:space="preserve">III. </w:t>
      </w:r>
      <w:r w:rsidR="007C341A" w:rsidRPr="007C341A">
        <w:rPr>
          <w:rFonts w:ascii="Times New Roman" w:hAnsi="Times New Roman" w:cs="Times New Roman"/>
          <w:b/>
          <w:sz w:val="28"/>
          <w:szCs w:val="28"/>
        </w:rPr>
        <w:t>QUÁ TRÌNH XÂY DỰNG QUYẾT ĐỊNH</w:t>
      </w:r>
      <w:r w:rsidRPr="007C341A">
        <w:rPr>
          <w:rFonts w:ascii="Times New Roman" w:hAnsi="Times New Roman" w:cs="Times New Roman"/>
          <w:b/>
          <w:sz w:val="28"/>
          <w:szCs w:val="28"/>
        </w:rPr>
        <w:t xml:space="preserve">  </w:t>
      </w:r>
    </w:p>
    <w:p w:rsidR="007C341A" w:rsidRPr="007C341A" w:rsidRDefault="007C341A" w:rsidP="007C341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7C341A">
        <w:rPr>
          <w:rFonts w:ascii="Times New Roman" w:hAnsi="Times New Roman" w:cs="Times New Roman"/>
          <w:sz w:val="28"/>
          <w:szCs w:val="28"/>
        </w:rPr>
        <w:t>Ngày 03/9/2025, Thủ tướng Chính phủ đã ban hành Quyết định số 1891/QĐ-TTg phê duyệt Phương án cắt giảm, đơn giản hóa thủ tục hành chính liên quan đến hoạt động sản xuất, kinh doanh thuộc phạm vi chức năng quản lý của Bộ Công an năm 2025, trong đó giao Bộ Công an 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liên quan đến hoạt động sản xuất, kinh doanh đã được Thủ tướng Chính phủ phê duyệt.</w:t>
      </w:r>
    </w:p>
    <w:p w:rsidR="007C341A" w:rsidRDefault="007C341A" w:rsidP="007C341A">
      <w:pPr>
        <w:spacing w:before="80" w:after="8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Ngày 02/6/2025, Bộ Công an có công văn số 2334/BCA-QLXNC gửi các bộ ngành, địa phương về việc đánh giá tổng kết thực hiện Quyết định số </w:t>
      </w:r>
      <w:r>
        <w:rPr>
          <w:rFonts w:ascii="Times New Roman" w:hAnsi="Times New Roman" w:cs="Times New Roman"/>
          <w:sz w:val="28"/>
          <w:szCs w:val="28"/>
        </w:rPr>
        <w:lastRenderedPageBreak/>
        <w:t>09/2023/QĐ-TTg của Thủ tướng Chính phủ. Bộ Công an đã tổng hợp, xây dựng dự thảo Báo cáo tổng kết thi hành Quyết định 09.</w:t>
      </w:r>
    </w:p>
    <w:p w:rsidR="007C341A" w:rsidRDefault="007C341A" w:rsidP="007C341A">
      <w:pPr>
        <w:tabs>
          <w:tab w:val="left" w:pos="720"/>
          <w:tab w:val="left" w:pos="1050"/>
        </w:tabs>
        <w:spacing w:before="40" w:after="40" w:line="264" w:lineRule="auto"/>
        <w:jc w:val="both"/>
        <w:rPr>
          <w:rFonts w:ascii="Times New Roman" w:hAnsi="Times New Roman"/>
          <w:sz w:val="28"/>
          <w:szCs w:val="28"/>
        </w:rPr>
      </w:pPr>
      <w:r>
        <w:rPr>
          <w:rFonts w:ascii="Times New Roman" w:hAnsi="Times New Roman" w:cs="Times New Roman"/>
          <w:sz w:val="28"/>
          <w:szCs w:val="28"/>
        </w:rPr>
        <w:tab/>
        <w:t xml:space="preserve">3. </w:t>
      </w:r>
      <w:r>
        <w:rPr>
          <w:rFonts w:ascii="Times New Roman" w:hAnsi="Times New Roman"/>
          <w:sz w:val="28"/>
          <w:szCs w:val="28"/>
        </w:rPr>
        <w:t>Bộ Công an đã tổ chức lấy ý kiến tham gia bằng văn bản của các bộ ngành, địa phương, tổ chức đối với hồ sơ dự thảo Quyết định.</w:t>
      </w:r>
    </w:p>
    <w:p w:rsidR="007C341A" w:rsidRDefault="007C341A" w:rsidP="007C341A">
      <w:pPr>
        <w:tabs>
          <w:tab w:val="left" w:pos="720"/>
          <w:tab w:val="left" w:pos="1050"/>
        </w:tabs>
        <w:spacing w:before="40" w:after="40" w:line="264" w:lineRule="auto"/>
        <w:jc w:val="both"/>
        <w:rPr>
          <w:rFonts w:ascii="Times New Roman" w:hAnsi="Times New Roman"/>
          <w:sz w:val="28"/>
          <w:szCs w:val="28"/>
        </w:rPr>
      </w:pPr>
      <w:r>
        <w:rPr>
          <w:rFonts w:ascii="Times New Roman" w:hAnsi="Times New Roman"/>
          <w:sz w:val="28"/>
          <w:szCs w:val="28"/>
        </w:rPr>
        <w:tab/>
        <w:t>4. Ngày ……………., Bộ Công an đã tổng hợp, giải trình tiếp thu ý kiến, hoàn chỉnh hồ sơ dự thảo Quyết định gửi Bộ Tư pháp thẩm định.</w:t>
      </w:r>
    </w:p>
    <w:p w:rsidR="007C341A" w:rsidRDefault="007C341A" w:rsidP="007C341A">
      <w:pPr>
        <w:tabs>
          <w:tab w:val="left" w:pos="720"/>
          <w:tab w:val="left" w:pos="1050"/>
        </w:tabs>
        <w:spacing w:before="40" w:after="40" w:line="264" w:lineRule="auto"/>
        <w:jc w:val="both"/>
        <w:rPr>
          <w:rFonts w:ascii="Times New Roman" w:hAnsi="Times New Roman"/>
          <w:sz w:val="28"/>
          <w:szCs w:val="28"/>
        </w:rPr>
      </w:pPr>
      <w:r>
        <w:rPr>
          <w:rFonts w:ascii="Times New Roman" w:hAnsi="Times New Roman"/>
          <w:sz w:val="28"/>
          <w:szCs w:val="28"/>
        </w:rPr>
        <w:tab/>
        <w:t>5. Ngày……………., Bộ Tư pháp có báo cáo số …………… về việc thẩm định hồ sơ dự thảo Quyết định.</w:t>
      </w:r>
    </w:p>
    <w:p w:rsidR="007C341A" w:rsidRDefault="007C341A" w:rsidP="007C341A">
      <w:pPr>
        <w:tabs>
          <w:tab w:val="left" w:pos="720"/>
          <w:tab w:val="left" w:pos="1050"/>
        </w:tabs>
        <w:spacing w:before="40" w:after="40" w:line="264" w:lineRule="auto"/>
        <w:jc w:val="both"/>
        <w:rPr>
          <w:rFonts w:ascii="Times New Roman" w:hAnsi="Times New Roman"/>
          <w:sz w:val="28"/>
          <w:szCs w:val="28"/>
        </w:rPr>
      </w:pPr>
      <w:r>
        <w:rPr>
          <w:rFonts w:ascii="Times New Roman" w:hAnsi="Times New Roman"/>
          <w:sz w:val="28"/>
          <w:szCs w:val="28"/>
        </w:rPr>
        <w:tab/>
        <w:t>6. Ngày ……………, Bộ Công an có báo cáo số …………… tiếp thu, giải trình ý kiến thẩm định của Bộ Tư pháp đối với hồ sơ dự thảo Quyết định.</w:t>
      </w:r>
    </w:p>
    <w:p w:rsidR="007C341A" w:rsidRDefault="007C341A" w:rsidP="007C341A">
      <w:pPr>
        <w:tabs>
          <w:tab w:val="left" w:pos="720"/>
          <w:tab w:val="left" w:pos="1050"/>
        </w:tabs>
        <w:spacing w:before="40" w:after="40" w:line="264" w:lineRule="auto"/>
        <w:jc w:val="both"/>
        <w:rPr>
          <w:rFonts w:ascii="Times New Roman" w:hAnsi="Times New Roman"/>
          <w:sz w:val="28"/>
          <w:szCs w:val="28"/>
        </w:rPr>
      </w:pPr>
      <w:r>
        <w:rPr>
          <w:rFonts w:ascii="Times New Roman" w:hAnsi="Times New Roman"/>
          <w:sz w:val="28"/>
          <w:szCs w:val="28"/>
        </w:rPr>
        <w:tab/>
        <w:t xml:space="preserve"> 7. </w:t>
      </w:r>
      <w:r>
        <w:rPr>
          <w:rFonts w:ascii="Times New Roman" w:hAnsi="Times New Roman" w:cs="Times New Roman"/>
          <w:sz w:val="28"/>
          <w:szCs w:val="28"/>
        </w:rPr>
        <w:t>Ngày …………...., Bộ Công an có văn bản tiếp thu, giải trình ý kiến thẩm định của Bộ Tư pháp, văn bản số …………. gửi Văn phòng Chính phủ trình Thủ tướng Chính phủ.</w:t>
      </w:r>
    </w:p>
    <w:p w:rsidR="005B0375" w:rsidRPr="005B0375" w:rsidRDefault="005B0375" w:rsidP="007724EA">
      <w:pPr>
        <w:spacing w:before="80" w:after="80" w:line="240" w:lineRule="auto"/>
        <w:ind w:firstLine="720"/>
        <w:jc w:val="both"/>
        <w:rPr>
          <w:rFonts w:ascii="Times New Roman" w:hAnsi="Times New Roman" w:cs="Times New Roman"/>
          <w:b/>
          <w:sz w:val="28"/>
          <w:szCs w:val="28"/>
        </w:rPr>
      </w:pPr>
      <w:r w:rsidRPr="005B0375">
        <w:rPr>
          <w:rFonts w:ascii="Times New Roman" w:hAnsi="Times New Roman" w:cs="Times New Roman"/>
          <w:b/>
          <w:sz w:val="28"/>
          <w:szCs w:val="28"/>
        </w:rPr>
        <w:t xml:space="preserve">IV. BỐ CỤC VÀ NỘI DUNG CƠ BẢN CỦA DỰ THẢO </w:t>
      </w:r>
    </w:p>
    <w:p w:rsidR="005B0375" w:rsidRPr="005B0375" w:rsidRDefault="005B0375" w:rsidP="007724EA">
      <w:pPr>
        <w:spacing w:before="80" w:after="8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5B0375">
        <w:rPr>
          <w:rFonts w:ascii="Times New Roman" w:hAnsi="Times New Roman" w:cs="Times New Roman"/>
          <w:b/>
          <w:sz w:val="28"/>
          <w:szCs w:val="28"/>
        </w:rPr>
        <w:t>1. Phạm vi điều chỉnh, đối tượng áp dụng</w:t>
      </w:r>
    </w:p>
    <w:p w:rsidR="00247BB2" w:rsidRDefault="00247BB2"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Phạm vi điều chỉnh và đối tượng áp dụng của dự thảo Quyết định sửa đổi, bổ sung không làm thay đổi phạm vi điều chỉnh, đối tượng áp dụng của Quyết định 09.</w:t>
      </w:r>
    </w:p>
    <w:p w:rsidR="00247BB2" w:rsidRPr="00247BB2" w:rsidRDefault="00247BB2" w:rsidP="007724EA">
      <w:pPr>
        <w:spacing w:before="80" w:after="80" w:line="240" w:lineRule="auto"/>
        <w:ind w:firstLine="720"/>
        <w:jc w:val="both"/>
        <w:rPr>
          <w:rFonts w:ascii="Times New Roman" w:hAnsi="Times New Roman" w:cs="Times New Roman"/>
          <w:b/>
          <w:sz w:val="28"/>
          <w:szCs w:val="28"/>
        </w:rPr>
      </w:pPr>
      <w:r w:rsidRPr="00247BB2">
        <w:rPr>
          <w:rFonts w:ascii="Times New Roman" w:hAnsi="Times New Roman" w:cs="Times New Roman"/>
          <w:b/>
          <w:sz w:val="28"/>
          <w:szCs w:val="28"/>
        </w:rPr>
        <w:t>2. Bố cục dự thảo Quyết định</w:t>
      </w:r>
    </w:p>
    <w:p w:rsidR="00247BB2" w:rsidRDefault="009B683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Dự thảo Quyết định gồm 03 điề</w:t>
      </w:r>
      <w:r w:rsidR="00A822F0">
        <w:rPr>
          <w:rFonts w:ascii="Times New Roman" w:hAnsi="Times New Roman" w:cs="Times New Roman"/>
          <w:sz w:val="28"/>
          <w:szCs w:val="28"/>
        </w:rPr>
        <w:t>u, 05</w:t>
      </w:r>
      <w:r>
        <w:rPr>
          <w:rFonts w:ascii="Times New Roman" w:hAnsi="Times New Roman" w:cs="Times New Roman"/>
          <w:sz w:val="28"/>
          <w:szCs w:val="28"/>
        </w:rPr>
        <w:t xml:space="preserve"> Mẫu trong Phụ lục, cụ thể như sau:</w:t>
      </w:r>
    </w:p>
    <w:p w:rsidR="009B683B" w:rsidRDefault="009B683B" w:rsidP="009B683B">
      <w:pPr>
        <w:tabs>
          <w:tab w:val="left" w:pos="720"/>
        </w:tabs>
        <w:spacing w:before="120" w:after="120" w:line="240" w:lineRule="auto"/>
        <w:jc w:val="both"/>
        <w:rPr>
          <w:rFonts w:ascii="Times New Roman" w:hAnsi="Times New Roman" w:cs="Times New Roman"/>
          <w:iCs/>
          <w:sz w:val="28"/>
          <w:szCs w:val="28"/>
        </w:rPr>
      </w:pPr>
      <w:r>
        <w:rPr>
          <w:rFonts w:ascii="Times New Roman" w:hAnsi="Times New Roman" w:cs="Times New Roman"/>
          <w:sz w:val="28"/>
          <w:szCs w:val="28"/>
        </w:rPr>
        <w:tab/>
        <w:t xml:space="preserve">- Điều 1. </w:t>
      </w:r>
      <w:r w:rsidRPr="009B683B">
        <w:rPr>
          <w:rFonts w:ascii="Times New Roman" w:hAnsi="Times New Roman" w:cs="Times New Roman"/>
          <w:iCs/>
          <w:sz w:val="28"/>
          <w:szCs w:val="28"/>
        </w:rPr>
        <w:t>Sửa đổi, bổ sung một số điều của Quyết định số 09/2023/QĐ-TTg ngày 12 tháng 4 năm 2023 của Thủ tướng Chính phủ quy định trình tự, thủ tục, thẩm quyền, cấp và quản lý thẻ đi lại doanh nhân APEC</w:t>
      </w:r>
      <w:r>
        <w:rPr>
          <w:rFonts w:ascii="Times New Roman" w:hAnsi="Times New Roman" w:cs="Times New Roman"/>
          <w:iCs/>
          <w:sz w:val="28"/>
          <w:szCs w:val="28"/>
        </w:rPr>
        <w:t>.</w:t>
      </w:r>
    </w:p>
    <w:p w:rsidR="009B683B" w:rsidRDefault="009B683B" w:rsidP="009B683B">
      <w:pPr>
        <w:tabs>
          <w:tab w:val="left" w:pos="720"/>
        </w:tabs>
        <w:spacing w:before="120" w:after="120" w:line="240" w:lineRule="auto"/>
        <w:jc w:val="both"/>
        <w:rPr>
          <w:rFonts w:ascii="Times New Roman" w:hAnsi="Times New Roman" w:cs="Times New Roman"/>
          <w:iCs/>
          <w:sz w:val="28"/>
          <w:szCs w:val="28"/>
        </w:rPr>
      </w:pPr>
      <w:r>
        <w:rPr>
          <w:rFonts w:ascii="Times New Roman" w:hAnsi="Times New Roman" w:cs="Times New Roman"/>
          <w:iCs/>
          <w:sz w:val="28"/>
          <w:szCs w:val="28"/>
        </w:rPr>
        <w:tab/>
        <w:t>- Điều 2. Hiệu lực thi hành</w:t>
      </w:r>
    </w:p>
    <w:p w:rsidR="009B683B" w:rsidRDefault="009B683B" w:rsidP="009B683B">
      <w:pPr>
        <w:tabs>
          <w:tab w:val="left" w:pos="720"/>
        </w:tabs>
        <w:spacing w:before="120" w:after="120" w:line="240" w:lineRule="auto"/>
        <w:jc w:val="both"/>
        <w:rPr>
          <w:rFonts w:ascii="Times New Roman" w:hAnsi="Times New Roman" w:cs="Times New Roman"/>
          <w:iCs/>
          <w:sz w:val="28"/>
          <w:szCs w:val="28"/>
        </w:rPr>
      </w:pPr>
      <w:r>
        <w:rPr>
          <w:rFonts w:ascii="Times New Roman" w:hAnsi="Times New Roman" w:cs="Times New Roman"/>
          <w:iCs/>
          <w:sz w:val="28"/>
          <w:szCs w:val="28"/>
        </w:rPr>
        <w:tab/>
        <w:t>- Điều 3. Điều khoản chuyển tiếp</w:t>
      </w:r>
    </w:p>
    <w:p w:rsidR="009B683B" w:rsidRDefault="00A822F0" w:rsidP="009B683B">
      <w:pPr>
        <w:tabs>
          <w:tab w:val="left" w:pos="720"/>
        </w:tabs>
        <w:spacing w:before="120" w:after="120" w:line="240" w:lineRule="auto"/>
        <w:jc w:val="both"/>
        <w:rPr>
          <w:rFonts w:ascii="Times New Roman" w:hAnsi="Times New Roman" w:cs="Times New Roman"/>
          <w:iCs/>
          <w:sz w:val="28"/>
          <w:szCs w:val="28"/>
        </w:rPr>
      </w:pPr>
      <w:r>
        <w:rPr>
          <w:rFonts w:ascii="Times New Roman" w:hAnsi="Times New Roman" w:cs="Times New Roman"/>
          <w:iCs/>
          <w:sz w:val="28"/>
          <w:szCs w:val="28"/>
        </w:rPr>
        <w:tab/>
        <w:t>- 05</w:t>
      </w:r>
      <w:r w:rsidR="009B683B">
        <w:rPr>
          <w:rFonts w:ascii="Times New Roman" w:hAnsi="Times New Roman" w:cs="Times New Roman"/>
          <w:iCs/>
          <w:sz w:val="28"/>
          <w:szCs w:val="28"/>
        </w:rPr>
        <w:t xml:space="preserve"> Mẫu trong Phụ lục:</w:t>
      </w:r>
    </w:p>
    <w:p w:rsidR="009B683B" w:rsidRDefault="009B683B" w:rsidP="009B683B">
      <w:pPr>
        <w:tabs>
          <w:tab w:val="left" w:pos="720"/>
        </w:tabs>
        <w:spacing w:before="120" w:after="120" w:line="240" w:lineRule="auto"/>
        <w:jc w:val="both"/>
        <w:rPr>
          <w:rFonts w:ascii="Times New Roman" w:hAnsi="Times New Roman" w:cs="Times New Roman"/>
          <w:b/>
          <w:iCs/>
          <w:sz w:val="28"/>
          <w:szCs w:val="28"/>
        </w:rPr>
      </w:pPr>
      <w:r>
        <w:rPr>
          <w:rFonts w:ascii="Times New Roman" w:hAnsi="Times New Roman" w:cs="Times New Roman"/>
          <w:iCs/>
          <w:sz w:val="28"/>
          <w:szCs w:val="28"/>
        </w:rPr>
        <w:tab/>
      </w:r>
      <w:r w:rsidRPr="009B683B">
        <w:rPr>
          <w:rFonts w:ascii="Times New Roman" w:hAnsi="Times New Roman" w:cs="Times New Roman"/>
          <w:b/>
          <w:iCs/>
          <w:sz w:val="28"/>
          <w:szCs w:val="28"/>
        </w:rPr>
        <w:t>3. Báo cáo các nội dung sửa đổi, hoàn thiện, bổ sung, lược bỏ, cắt giảm, đơn giản hóa thủ tục hành chính, phân cấp, phân quyền</w:t>
      </w:r>
      <w:r>
        <w:rPr>
          <w:rFonts w:ascii="Times New Roman" w:hAnsi="Times New Roman" w:cs="Times New Roman"/>
          <w:b/>
          <w:iCs/>
          <w:sz w:val="28"/>
          <w:szCs w:val="28"/>
        </w:rPr>
        <w:t>.</w:t>
      </w:r>
    </w:p>
    <w:p w:rsidR="009B683B" w:rsidRDefault="009B683B" w:rsidP="009B683B">
      <w:pPr>
        <w:tabs>
          <w:tab w:val="left" w:pos="720"/>
        </w:tabs>
        <w:spacing w:before="120" w:after="120" w:line="240" w:lineRule="auto"/>
        <w:jc w:val="both"/>
        <w:rPr>
          <w:rFonts w:ascii="Times New Roman" w:hAnsi="Times New Roman" w:cs="Times New Roman"/>
          <w:b/>
          <w:iCs/>
          <w:sz w:val="28"/>
          <w:szCs w:val="28"/>
        </w:rPr>
      </w:pPr>
      <w:r>
        <w:rPr>
          <w:rFonts w:ascii="Times New Roman" w:hAnsi="Times New Roman" w:cs="Times New Roman"/>
          <w:b/>
          <w:iCs/>
          <w:sz w:val="28"/>
          <w:szCs w:val="28"/>
        </w:rPr>
        <w:tab/>
        <w:t>3.1. Về các nội dung sửa đổi, hoàn thiện, bổ sung</w:t>
      </w:r>
    </w:p>
    <w:p w:rsidR="00A822F0" w:rsidRPr="00A822F0" w:rsidRDefault="009B683B" w:rsidP="00A822F0">
      <w:pPr>
        <w:tabs>
          <w:tab w:val="left" w:pos="720"/>
        </w:tabs>
        <w:spacing w:before="120" w:after="120" w:line="240" w:lineRule="auto"/>
        <w:jc w:val="both"/>
        <w:rPr>
          <w:rFonts w:ascii="Times New Roman" w:hAnsi="Times New Roman" w:cs="Times New Roman"/>
          <w:sz w:val="28"/>
          <w:szCs w:val="28"/>
        </w:rPr>
      </w:pPr>
      <w:r>
        <w:rPr>
          <w:rFonts w:ascii="Times New Roman" w:hAnsi="Times New Roman" w:cs="Times New Roman"/>
          <w:b/>
          <w:iCs/>
          <w:sz w:val="28"/>
          <w:szCs w:val="28"/>
        </w:rPr>
        <w:tab/>
      </w:r>
      <w:r w:rsidR="00A822F0">
        <w:rPr>
          <w:rFonts w:ascii="Times New Roman" w:hAnsi="Times New Roman" w:cs="Times New Roman"/>
          <w:b/>
          <w:iCs/>
          <w:sz w:val="28"/>
          <w:szCs w:val="28"/>
        </w:rPr>
        <w:t xml:space="preserve">- </w:t>
      </w:r>
      <w:r w:rsidR="00A822F0">
        <w:rPr>
          <w:rFonts w:ascii="Times New Roman" w:hAnsi="Times New Roman" w:cs="Times New Roman"/>
          <w:iCs/>
          <w:sz w:val="28"/>
          <w:szCs w:val="28"/>
        </w:rPr>
        <w:t>Dự thảo Quyết định b</w:t>
      </w:r>
      <w:r w:rsidR="00A822F0" w:rsidRPr="00A822F0">
        <w:rPr>
          <w:rFonts w:ascii="Times New Roman" w:hAnsi="Times New Roman" w:cs="Times New Roman"/>
          <w:iCs/>
          <w:sz w:val="28"/>
          <w:szCs w:val="28"/>
        </w:rPr>
        <w:t xml:space="preserve">ổ sung các nội dung về: (1) doanh nhân đang làm việc tại các tổ chức tín dụng được thành lập hợp pháp theo quy định của pháp luật Việt Nam; (2) doanh nhân có chức vụ tương đương với các chức vụ được quy định tại khoản 1, khoản 2, khoản 3, khoản 4, khoản 5 Điều 9 Quyết định 09; (3) trường hợp doanh nhân đã được cấp thẻ ABTC đang còn giá trị sử dụng nhưng có sự thay đổi về chức vụ tại cơ quan, tổ chức, doanh nghiệp đề nghị cấp thẻ thì cơ quan, tổ chức, doanh nghiệp có trách nhiệm gửi công văn thông báo đến cơ quan chuyên môn của Bộ ngành, Ủy ban nhân dân tỉnh, thành phố trực thuộc trung ương, tổ chức chính trị - xã hội, Liên đoàn Thương mại công nghiệp Việt Nam; (4) trong trường hợp phát hiện có dấu hiệu nghi vấn, cơ quan chuyên </w:t>
      </w:r>
      <w:r w:rsidR="00A822F0" w:rsidRPr="00A822F0">
        <w:rPr>
          <w:rFonts w:ascii="Times New Roman" w:hAnsi="Times New Roman" w:cs="Times New Roman"/>
          <w:iCs/>
          <w:sz w:val="28"/>
          <w:szCs w:val="28"/>
        </w:rPr>
        <w:lastRenderedPageBreak/>
        <w:t xml:space="preserve">môn của Ủy ban nhân dân tỉnh, thành phố trực thuộc trung ương đề nghị cơ quan, doanh nghiệp cung cấp thêm các tài liệu liên quan để xem xét. Nếu quá thời hạn 01 tháng mà cơ quan, doanh nghiệp không cung cấp được tài liệu thì cơ quan chuyên môn của Ủy ban nhân dân tỉnh, thành phố trực thuộc trung ương không giải quyết hồ sơ; (5) </w:t>
      </w:r>
      <w:r w:rsidR="00A822F0" w:rsidRPr="00A822F0">
        <w:rPr>
          <w:rFonts w:ascii="Times New Roman" w:hAnsi="Times New Roman" w:cs="Times New Roman"/>
          <w:sz w:val="28"/>
          <w:szCs w:val="28"/>
        </w:rPr>
        <w:t>Triển khai kết nối cơ sở dữ liệu giữa các cơ quan thuế, hải quan, bảo hiểm xã hội ở địa phương để phục vụ việc cấp văn bản cho phép doanh nhân được sử dụng thẻ ABTC.</w:t>
      </w:r>
    </w:p>
    <w:p w:rsidR="00A822F0" w:rsidRPr="00A822F0" w:rsidRDefault="00A822F0" w:rsidP="00A822F0">
      <w:pPr>
        <w:tabs>
          <w:tab w:val="left" w:pos="720"/>
        </w:tabs>
        <w:spacing w:before="120" w:after="120" w:line="240" w:lineRule="auto"/>
        <w:jc w:val="both"/>
        <w:rPr>
          <w:rFonts w:ascii="Times New Roman" w:hAnsi="Times New Roman" w:cs="Times New Roman"/>
          <w:spacing w:val="-2"/>
          <w:sz w:val="28"/>
          <w:szCs w:val="28"/>
        </w:rPr>
      </w:pPr>
      <w:r w:rsidRPr="00A822F0">
        <w:rPr>
          <w:rFonts w:ascii="Times New Roman" w:hAnsi="Times New Roman" w:cs="Times New Roman"/>
          <w:sz w:val="28"/>
          <w:szCs w:val="28"/>
        </w:rPr>
        <w:tab/>
        <w:t xml:space="preserve">- </w:t>
      </w:r>
      <w:r>
        <w:rPr>
          <w:rFonts w:ascii="Times New Roman" w:hAnsi="Times New Roman" w:cs="Times New Roman"/>
          <w:sz w:val="28"/>
          <w:szCs w:val="28"/>
        </w:rPr>
        <w:t>Dự thảo Quyết định s</w:t>
      </w:r>
      <w:r w:rsidRPr="00A822F0">
        <w:rPr>
          <w:rFonts w:ascii="Times New Roman" w:hAnsi="Times New Roman" w:cs="Times New Roman"/>
          <w:spacing w:val="-2"/>
          <w:sz w:val="28"/>
          <w:szCs w:val="28"/>
        </w:rPr>
        <w:t>ửa đổi, bổ sung, hoàn thiện các nội dung về: (1) định nghĩa lại thẻ ABTC (khoản 1 Điều 1 dự thảo) để phù hợp với khái niệm do Nhóm Chương trình thẻ đi lại doanh nhân APEC đưa ra; (2) điều kiện được xem xét cấp thẻ ABTC theo hướng quy định cơ quan, tổ chức, doanh nghiệp phải có các hoạt động hợp tác hoặc phát triển doanh nghiệp tại các nền kinh tế thành viên APEC (khoản 4 Điều 1 dự thảo); (3) đối tượng được xem xét cấp thẻ theo hướng chỉ quy định mang tính khái quát là Kế toán trưởng, Trưởng ban, Phó Trưởng ban, Phó Trưởng phòng (khoản 5 Điều 1 dự thảo); (4) thẩm quyền xem xét cho phép sử dụng thẻ ABTC theo hướng quy định Bộ trưởng Bộ Tài chính xem xét cho phép sử dụng thẻ ABTC đối với Chủ tịch Hội đồng thành viên các tập đoàn, tổng công ty, Chủ tịch công ty do Thủ tướng Chính phủ bổ nhiệm (khoản 6 Điều 1 dự thảo); (5) thủ tục cấp văn bản cho phép sử dụng thẻ ABTC theo hướng quy định cho phép doanh nhân được nộp bản điện tử Quyết định cử cán bộ đi công tác và giảm thời gian xử lý hồ sơ; (6) trách nhiệm của các cơ quan, tổ chức, doanh nghiệp, cá nhân có liên quan theo hướng quy định trường hợp cơ quan, tổ chức, doanh nghiệp không thực hiện nghiêm túc việc báo cáo định kỳ hàng năm thì cơ quan chuyên môn của bộ ngành, Ủy ban nhân dân tỉnh, thành phố trực thuộc trung ương có trách nhiệm xem xét không tiếp tục cho phép doanh nhân của cơ quan, tổ chức, doanh nghiệp đó được sử dụng thẻ hoặc không xem xét đối với trường hợp đề nghị cấp thẻ tiếp theo của cơ quan, tổ chức, doanh nghiệp đó.</w:t>
      </w:r>
    </w:p>
    <w:p w:rsidR="00EF7003" w:rsidRDefault="00EF7003" w:rsidP="00A822F0">
      <w:pPr>
        <w:tabs>
          <w:tab w:val="left" w:pos="720"/>
        </w:tabs>
        <w:spacing w:before="120" w:after="120" w:line="240" w:lineRule="auto"/>
        <w:jc w:val="both"/>
        <w:rPr>
          <w:rFonts w:ascii="Times New Roman" w:hAnsi="Times New Roman"/>
          <w:sz w:val="28"/>
          <w:szCs w:val="28"/>
        </w:rPr>
      </w:pPr>
      <w:r>
        <w:rPr>
          <w:rFonts w:ascii="Times New Roman" w:hAnsi="Times New Roman"/>
          <w:sz w:val="28"/>
          <w:szCs w:val="28"/>
        </w:rPr>
        <w:tab/>
        <w:t>Các nội dung được đề xuất sửa đổi, bổ sung, bãi bỏ nhằm thể chế hóa đầy đủ, đúng đắn, kịp thời, chủ trương, đường lối của Đảng, Chính phủ trong việc “</w:t>
      </w:r>
      <w:r w:rsidRPr="00EF7003">
        <w:rPr>
          <w:rFonts w:ascii="Times New Roman" w:hAnsi="Times New Roman"/>
          <w:i/>
          <w:sz w:val="28"/>
          <w:szCs w:val="28"/>
        </w:rPr>
        <w:t>sửa đổi, bổ sung, hoàn thiện đồng bộ các quy định pháp luật</w:t>
      </w:r>
      <w:r>
        <w:rPr>
          <w:rFonts w:ascii="Times New Roman" w:hAnsi="Times New Roman"/>
          <w:sz w:val="28"/>
          <w:szCs w:val="28"/>
        </w:rPr>
        <w:t>” theo Nghị quyết số 57-NQ/TW ngày 22/12/2024 của Bộ Chính trị, “Cắt giảm, đơn giản hóa ngay thủ tục hành chính liên quan đến hoạt động sản xuất, kinh doanh bảo đảm bãi bỏ ít nhất 30% điều kiện đầu tư kinh doanh không cần thiết” theo Nghị quyết số 66/NQ-CP ngày 26/3/2025 của Chính phủ.</w:t>
      </w:r>
    </w:p>
    <w:p w:rsidR="009B683B" w:rsidRPr="00EF7003" w:rsidRDefault="00EF7003" w:rsidP="009B683B">
      <w:pPr>
        <w:tabs>
          <w:tab w:val="left" w:pos="720"/>
        </w:tabs>
        <w:spacing w:before="120" w:after="120" w:line="240" w:lineRule="auto"/>
        <w:jc w:val="both"/>
        <w:rPr>
          <w:rFonts w:ascii="Times New Roman" w:hAnsi="Times New Roman" w:cs="Times New Roman"/>
          <w:b/>
          <w:iCs/>
          <w:sz w:val="28"/>
          <w:szCs w:val="28"/>
        </w:rPr>
      </w:pPr>
      <w:r>
        <w:rPr>
          <w:rFonts w:ascii="Times New Roman" w:hAnsi="Times New Roman"/>
          <w:sz w:val="28"/>
          <w:szCs w:val="28"/>
        </w:rPr>
        <w:tab/>
      </w:r>
      <w:r w:rsidRPr="00EF7003">
        <w:rPr>
          <w:rFonts w:ascii="Times New Roman" w:hAnsi="Times New Roman"/>
          <w:b/>
          <w:sz w:val="28"/>
          <w:szCs w:val="28"/>
        </w:rPr>
        <w:t xml:space="preserve">3.2. Về nội dung đơn giản hóa thủ tục hành chính và phân cấp, phân quyền    </w:t>
      </w:r>
    </w:p>
    <w:p w:rsidR="009B683B" w:rsidRDefault="00EF700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Các thủ tục hành chính liên quan đến cấp văn bản cho phép sử dụng thẻ ABTC đã được đơn giản hóa thành phần hồ sơ, phân quyền cho Ủy ban nhân dân tỉnh, thành phố trực thuộc trung ương; các thủ tục hành chính về doanh nhân trình báo mất thẻ ABTC đã được phân cấp cho Phòng Quản lý xuất nhập cảnh Công an tỉnh, thành phố trực thuộc trung ương, Công an cấp xã thực hiện tiếp nhận. Để đảm bảo hiệu lực, hiệu quả, đồng bộ của các văn bản quy phạm pháp luật, bảo đảm nguyên tắc rõ người, rõ việc, rõ thẩm quyền, rõ trách nhiệm, dự </w:t>
      </w:r>
      <w:r>
        <w:rPr>
          <w:rFonts w:ascii="Times New Roman" w:hAnsi="Times New Roman" w:cs="Times New Roman"/>
          <w:sz w:val="28"/>
          <w:szCs w:val="28"/>
        </w:rPr>
        <w:lastRenderedPageBreak/>
        <w:t xml:space="preserve">thảo Quyết định đã đưa nội dung bãi bỏ một số khoản quy định về thành phần hồ sơ, giảm thời gian xử lý thủ tục hành chính.  </w:t>
      </w:r>
    </w:p>
    <w:p w:rsidR="00EF7003" w:rsidRDefault="00EF700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Dự thảo Quyết định đã cắt giảm, đơn giản hóa 30% thành phần hồ sơ và thời gian xử lý thủ tục hành chính, đảm bảo phân cấp, phân quyền, đáp ứng yêu cầu của Nghị quyết số 66/NQ-CP ngày 26/3/2025 về chương trình cắt giảm, đơn giản hóa thủ tục hành chính liên quan đến hoạt động sản xuất, kinh doanh.</w:t>
      </w:r>
    </w:p>
    <w:p w:rsidR="00EF7003" w:rsidRPr="00EF7003" w:rsidRDefault="00EF7003" w:rsidP="007724EA">
      <w:pPr>
        <w:spacing w:before="80" w:after="80" w:line="240" w:lineRule="auto"/>
        <w:ind w:firstLine="720"/>
        <w:jc w:val="both"/>
        <w:rPr>
          <w:rFonts w:ascii="Times New Roman" w:hAnsi="Times New Roman" w:cs="Times New Roman"/>
          <w:b/>
          <w:sz w:val="28"/>
          <w:szCs w:val="28"/>
        </w:rPr>
      </w:pPr>
      <w:r w:rsidRPr="00EF7003">
        <w:rPr>
          <w:rFonts w:ascii="Times New Roman" w:hAnsi="Times New Roman" w:cs="Times New Roman"/>
          <w:b/>
          <w:sz w:val="28"/>
          <w:szCs w:val="28"/>
        </w:rPr>
        <w:t>4. Nội dung cơ bản của dự thảo Quyết định</w:t>
      </w:r>
    </w:p>
    <w:p w:rsidR="00247BB2"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khoản 1</w:t>
      </w:r>
      <w:r w:rsidR="00A822F0">
        <w:rPr>
          <w:rFonts w:ascii="Times New Roman" w:hAnsi="Times New Roman" w:cs="Times New Roman"/>
          <w:sz w:val="28"/>
          <w:szCs w:val="28"/>
        </w:rPr>
        <w:t>, khoản 2</w:t>
      </w:r>
      <w:r>
        <w:rPr>
          <w:rFonts w:ascii="Times New Roman" w:hAnsi="Times New Roman" w:cs="Times New Roman"/>
          <w:sz w:val="28"/>
          <w:szCs w:val="28"/>
        </w:rPr>
        <w:t xml:space="preserve"> Điều 3 Quyết định 09 về giải thích từ ngữ thẻ đi lại doanh nhân APEC.</w:t>
      </w:r>
    </w:p>
    <w:p w:rsidR="00A822F0" w:rsidRDefault="00A822F0"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5</w:t>
      </w:r>
      <w:r w:rsidRPr="00A822F0">
        <w:rPr>
          <w:rFonts w:ascii="Times New Roman" w:hAnsi="Times New Roman" w:cs="Times New Roman"/>
          <w:sz w:val="28"/>
          <w:szCs w:val="28"/>
        </w:rPr>
        <w:t xml:space="preserve"> </w:t>
      </w:r>
      <w:r>
        <w:rPr>
          <w:rFonts w:ascii="Times New Roman" w:hAnsi="Times New Roman" w:cs="Times New Roman"/>
          <w:sz w:val="28"/>
          <w:szCs w:val="28"/>
        </w:rPr>
        <w:t>Quyết định 09 về</w:t>
      </w:r>
      <w:r>
        <w:rPr>
          <w:rFonts w:ascii="Times New Roman" w:hAnsi="Times New Roman" w:cs="Times New Roman"/>
          <w:sz w:val="28"/>
          <w:szCs w:val="28"/>
        </w:rPr>
        <w:t xml:space="preserve"> thông tin trên thẻ ABTC.</w:t>
      </w:r>
    </w:p>
    <w:p w:rsidR="00A822F0" w:rsidRDefault="00A822F0"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Sửa đổi, bổ sung Điều 6 </w:t>
      </w:r>
      <w:r>
        <w:rPr>
          <w:rFonts w:ascii="Times New Roman" w:hAnsi="Times New Roman" w:cs="Times New Roman"/>
          <w:sz w:val="28"/>
          <w:szCs w:val="28"/>
        </w:rPr>
        <w:t>Quyết định 09 về</w:t>
      </w:r>
      <w:r>
        <w:rPr>
          <w:rFonts w:ascii="Times New Roman" w:hAnsi="Times New Roman" w:cs="Times New Roman"/>
          <w:sz w:val="28"/>
          <w:szCs w:val="28"/>
        </w:rPr>
        <w:t xml:space="preserve"> trách nhiệm sử dụng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khoản 1, khoản 2, điểm b khoản 3 của Điều 8 Quyết định 09 về điều kiện được xem xét cấp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w:t>
      </w:r>
      <w:r w:rsidR="00A822F0">
        <w:rPr>
          <w:rFonts w:ascii="Times New Roman" w:hAnsi="Times New Roman" w:cs="Times New Roman"/>
          <w:sz w:val="28"/>
          <w:szCs w:val="28"/>
        </w:rPr>
        <w:t xml:space="preserve">i, bổ sung </w:t>
      </w:r>
      <w:r>
        <w:rPr>
          <w:rFonts w:ascii="Times New Roman" w:hAnsi="Times New Roman" w:cs="Times New Roman"/>
          <w:sz w:val="28"/>
          <w:szCs w:val="28"/>
        </w:rPr>
        <w:t>Điều 9 Quyết định 09  về đối tượng được xem xét cấp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10 Quyết định 09 về thẩm quyền xem xét cho phép sử dụng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11 Quyết định 09 về thủ tục cấp văn bản cho phép sử dụng thẻ ABTC đối với doanh nhân.</w:t>
      </w:r>
    </w:p>
    <w:p w:rsidR="00A822F0" w:rsidRDefault="00A822F0" w:rsidP="00A822F0">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w:t>
      </w:r>
      <w:r>
        <w:rPr>
          <w:rFonts w:ascii="Times New Roman" w:hAnsi="Times New Roman" w:cs="Times New Roman"/>
          <w:sz w:val="28"/>
          <w:szCs w:val="28"/>
        </w:rPr>
        <w:t>2</w:t>
      </w:r>
      <w:r>
        <w:rPr>
          <w:rFonts w:ascii="Times New Roman" w:hAnsi="Times New Roman" w:cs="Times New Roman"/>
          <w:sz w:val="28"/>
          <w:szCs w:val="28"/>
        </w:rPr>
        <w:t xml:space="preserve"> Quyết định 09 về thủ tục cấp văn bản cho phép sử dụng thẻ ABTC đối với doanh nhân.</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13 Quyết định 09 về thủ tục cấp mới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14 Quyết định 09 về thủ tục cấp lại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điểm b, điểm c khoản 1Điều 15 Quyết định 09 về thời hạn giải quyết.</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Điều 16 Quyết định 09 về thời hạn của thẻ ABTC cấp cho doanh nhân Việt Nam.</w:t>
      </w:r>
    </w:p>
    <w:p w:rsidR="00A822F0" w:rsidRDefault="00A822F0" w:rsidP="00A822F0">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Sửa đổi, bổ sung tên Chương V </w:t>
      </w:r>
      <w:r>
        <w:rPr>
          <w:rFonts w:ascii="Times New Roman" w:hAnsi="Times New Roman" w:cs="Times New Roman"/>
          <w:sz w:val="28"/>
          <w:szCs w:val="28"/>
        </w:rPr>
        <w:t xml:space="preserve">Quyết định 09 về </w:t>
      </w:r>
      <w:r>
        <w:rPr>
          <w:rFonts w:ascii="Times New Roman" w:hAnsi="Times New Roman" w:cs="Times New Roman"/>
          <w:sz w:val="28"/>
          <w:szCs w:val="28"/>
        </w:rPr>
        <w:t>chưa được cấp thẻ, hủy giá trị sử dụng thẻ ABTC của doanh nhân Việt Nam</w:t>
      </w:r>
      <w:r>
        <w:rPr>
          <w:rFonts w:ascii="Times New Roman" w:hAnsi="Times New Roman" w:cs="Times New Roman"/>
          <w:sz w:val="28"/>
          <w:szCs w:val="28"/>
        </w:rPr>
        <w:t>.</w:t>
      </w:r>
    </w:p>
    <w:p w:rsidR="00A822F0" w:rsidRDefault="00A822F0"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Sửa đổi, bổ sung Điều 18 </w:t>
      </w:r>
      <w:r>
        <w:rPr>
          <w:rFonts w:ascii="Times New Roman" w:hAnsi="Times New Roman" w:cs="Times New Roman"/>
          <w:sz w:val="28"/>
          <w:szCs w:val="28"/>
        </w:rPr>
        <w:t>Quyết định 09 về</w:t>
      </w:r>
      <w:r>
        <w:rPr>
          <w:rFonts w:ascii="Times New Roman" w:hAnsi="Times New Roman" w:cs="Times New Roman"/>
          <w:sz w:val="28"/>
          <w:szCs w:val="28"/>
        </w:rPr>
        <w:t xml:space="preserve"> các trường hợp hủy giá trị sử dụng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w:t>
      </w:r>
      <w:r w:rsidR="00A822F0">
        <w:rPr>
          <w:rFonts w:ascii="Times New Roman" w:hAnsi="Times New Roman" w:cs="Times New Roman"/>
          <w:sz w:val="28"/>
          <w:szCs w:val="28"/>
        </w:rPr>
        <w:t xml:space="preserve"> sung </w:t>
      </w:r>
      <w:r>
        <w:rPr>
          <w:rFonts w:ascii="Times New Roman" w:hAnsi="Times New Roman" w:cs="Times New Roman"/>
          <w:sz w:val="28"/>
          <w:szCs w:val="28"/>
        </w:rPr>
        <w:t>Điều 19 Quyết định 09 về trách nhiệm đề nghị hủy giá trị sử dụng thẻ ABTC.</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khoản 1 Điều 20 Quyết định 09 về thông báo thẻ ABTC đã cấp cho doanh nhân Việt Nam không còn giá trị sử dụng.</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bổ sung khoản 1</w:t>
      </w:r>
      <w:r w:rsidR="00A822F0">
        <w:rPr>
          <w:rFonts w:ascii="Times New Roman" w:hAnsi="Times New Roman" w:cs="Times New Roman"/>
          <w:sz w:val="28"/>
          <w:szCs w:val="28"/>
        </w:rPr>
        <w:t xml:space="preserve"> Đ</w:t>
      </w:r>
      <w:r>
        <w:rPr>
          <w:rFonts w:ascii="Times New Roman" w:hAnsi="Times New Roman" w:cs="Times New Roman"/>
          <w:sz w:val="28"/>
          <w:szCs w:val="28"/>
        </w:rPr>
        <w:t>iều 25 Quyết định 09 về trách nhiệm của Bộ Công an.</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Sửa đổi, bổ sung Điều 26 Quyết định 09 về trách nhiệm của bộ ngành, tổ chức chính trị - xã hội, Liên đoàn Thương mại và Công nghiệp Việt Nam, Ủy ban nhân dân tỉnh, thành phố trực thuộc trung ương.</w:t>
      </w:r>
    </w:p>
    <w:p w:rsidR="00C722FB" w:rsidRDefault="00C722FB"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Sửa đổi, bổ sung </w:t>
      </w:r>
      <w:bookmarkStart w:id="0" w:name="_GoBack"/>
      <w:bookmarkEnd w:id="0"/>
      <w:r>
        <w:rPr>
          <w:rFonts w:ascii="Times New Roman" w:hAnsi="Times New Roman" w:cs="Times New Roman"/>
          <w:sz w:val="28"/>
          <w:szCs w:val="28"/>
        </w:rPr>
        <w:t xml:space="preserve">Điều 27 Quyết định 09 về trách nhiệm của các cơ quan, tổ chức, doanh nghiệp, cá nhân có liên quan.     </w:t>
      </w:r>
    </w:p>
    <w:p w:rsidR="00247BB2" w:rsidRPr="00B25453" w:rsidRDefault="00B25453" w:rsidP="007724EA">
      <w:pPr>
        <w:spacing w:before="80" w:after="80" w:line="240" w:lineRule="auto"/>
        <w:ind w:firstLine="720"/>
        <w:jc w:val="both"/>
        <w:rPr>
          <w:rFonts w:ascii="Times New Roman" w:hAnsi="Times New Roman" w:cs="Times New Roman"/>
          <w:b/>
          <w:sz w:val="28"/>
          <w:szCs w:val="28"/>
        </w:rPr>
      </w:pPr>
      <w:r w:rsidRPr="00B25453">
        <w:rPr>
          <w:rFonts w:ascii="Times New Roman" w:hAnsi="Times New Roman" w:cs="Times New Roman"/>
          <w:b/>
          <w:sz w:val="28"/>
          <w:szCs w:val="28"/>
        </w:rPr>
        <w:t>V. NHỮNG NỘI DUNG BỔ SUNG MỚI SO VỚI DỰ THẢO QUYẾT ĐỊNH GỬI THẨM ĐỊNH</w:t>
      </w:r>
    </w:p>
    <w:p w:rsidR="00B25453" w:rsidRDefault="00B25453" w:rsidP="00B25453">
      <w:pPr>
        <w:spacing w:before="80" w:after="8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(Nội dung này sẽ được tổng hợp trong quá trình tiếp thu, xử lý ý kiến của Bộ Tư pháp nếu có ý kiến chưa đồng nhất)</w:t>
      </w:r>
    </w:p>
    <w:p w:rsidR="00E26074" w:rsidRPr="006F6A0D" w:rsidRDefault="005B0375" w:rsidP="007724EA">
      <w:pPr>
        <w:spacing w:before="80" w:after="8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V</w:t>
      </w:r>
      <w:r w:rsidR="00B25453">
        <w:rPr>
          <w:rFonts w:ascii="Times New Roman" w:hAnsi="Times New Roman" w:cs="Times New Roman"/>
          <w:b/>
          <w:sz w:val="28"/>
          <w:szCs w:val="28"/>
        </w:rPr>
        <w:t>I</w:t>
      </w:r>
      <w:r w:rsidR="00E26074" w:rsidRPr="006F6A0D">
        <w:rPr>
          <w:rFonts w:ascii="Times New Roman" w:hAnsi="Times New Roman" w:cs="Times New Roman"/>
          <w:b/>
          <w:sz w:val="28"/>
          <w:szCs w:val="28"/>
        </w:rPr>
        <w:t xml:space="preserve">. </w:t>
      </w:r>
      <w:r w:rsidR="00C52EBE" w:rsidRPr="006F6A0D">
        <w:rPr>
          <w:rFonts w:ascii="Times New Roman" w:hAnsi="Times New Roman" w:cs="Times New Roman"/>
          <w:b/>
          <w:sz w:val="28"/>
          <w:szCs w:val="28"/>
        </w:rPr>
        <w:t>DỰ KIẾN NGUỒN LỰC, ĐIỀU KIỆN BẢO ĐẢM CHO VIỆC THI HÀNH</w:t>
      </w:r>
      <w:r>
        <w:rPr>
          <w:rFonts w:ascii="Times New Roman" w:hAnsi="Times New Roman" w:cs="Times New Roman"/>
          <w:b/>
          <w:sz w:val="28"/>
          <w:szCs w:val="28"/>
        </w:rPr>
        <w:t xml:space="preserve"> VẢN BẢN VÀ THỜI GIAN TRÌNH BAN HÀNH</w:t>
      </w:r>
    </w:p>
    <w:p w:rsidR="00B25453"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Việc tổ chức triển khai thi hành Quyết định sửa đổi, bổ sung một số điều của Quyết định số 09/2023/QĐ-TTg ngày 12/4/2023 của Thủ tướng Chính phủ quy định trình tự, thủ tục, thẩm quyền, cấp và quản lý thẻ đi lại doanh nhân APEC cần có sự phối hợp đồng bộ giữa Bộ Công an và Ủy ban nhân dân các tỉnh, thành phố trực thuộc trung ương với các điều kiện bảo đảm chủ yếu như sau:</w:t>
      </w:r>
    </w:p>
    <w:p w:rsidR="00B25453" w:rsidRPr="00B25453" w:rsidRDefault="00B25453" w:rsidP="00B25453">
      <w:pPr>
        <w:spacing w:before="80" w:after="80" w:line="240" w:lineRule="auto"/>
        <w:ind w:firstLine="720"/>
        <w:jc w:val="both"/>
        <w:rPr>
          <w:rFonts w:ascii="Times New Roman" w:hAnsi="Times New Roman" w:cs="Times New Roman"/>
          <w:b/>
          <w:sz w:val="28"/>
          <w:szCs w:val="28"/>
        </w:rPr>
      </w:pPr>
      <w:r w:rsidRPr="00B25453">
        <w:rPr>
          <w:rFonts w:ascii="Times New Roman" w:hAnsi="Times New Roman" w:cs="Times New Roman"/>
          <w:b/>
          <w:sz w:val="28"/>
          <w:szCs w:val="28"/>
        </w:rPr>
        <w:t>1. Về nguồn nhân lực:</w:t>
      </w:r>
    </w:p>
    <w:p w:rsidR="00B25453"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Một số công việc như tổ chức tuyên truyền, phổ biến quy định của pháp luật; xây dựng, cập nhật cơ sở dữ liệu trên nền tảng số cần thực hiện để triển khai Quyết định. Nguồn nhân lực tại chỗ của Cục Quản lý xuất nhập cảnh, Bộ Công an và cơ quan chuyên môn thuộc Ủy ban nhân dân tỉnh, thành phố cơ bản đáp ứng yêu cầu triển khai nên không phát sinh thêm nhân lực.</w:t>
      </w:r>
    </w:p>
    <w:p w:rsidR="00B25453" w:rsidRPr="00B25453" w:rsidRDefault="00B25453" w:rsidP="007724EA">
      <w:pPr>
        <w:spacing w:before="80" w:after="80" w:line="240" w:lineRule="auto"/>
        <w:ind w:firstLine="720"/>
        <w:jc w:val="both"/>
        <w:rPr>
          <w:rFonts w:ascii="Times New Roman" w:hAnsi="Times New Roman" w:cs="Times New Roman"/>
          <w:b/>
          <w:sz w:val="28"/>
          <w:szCs w:val="28"/>
        </w:rPr>
      </w:pPr>
      <w:r w:rsidRPr="00B25453">
        <w:rPr>
          <w:rFonts w:ascii="Times New Roman" w:hAnsi="Times New Roman" w:cs="Times New Roman"/>
          <w:b/>
          <w:sz w:val="28"/>
          <w:szCs w:val="28"/>
        </w:rPr>
        <w:t>2. Về cơ sở vật chất - kỹ thuật:</w:t>
      </w:r>
    </w:p>
    <w:p w:rsidR="00B25453"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Ủy ban nhân dân cấp tỉnh cần được được trang bị đầy đủ hệ thống hạ tầng công nghệ thông tin, kết nối với cổng dịch vụ công và hệ thống cơ sở dữ liệu để tiếp nhận, xử lý hồ sơ đăng ký hoàn toàn trên môi trường điện tử.</w:t>
      </w:r>
    </w:p>
    <w:p w:rsidR="00B25453"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Bộ Công an chủ trì nâng cấp và duy trì hệ thống cơ sở dữ liệu về thẻ ABTC cấp cho doanh nhân, bảo đảm kết nối, chia sẻ thông tin với Ủy ban nhân dân các tỉnh, thành phố trực thuộc trung ương.</w:t>
      </w:r>
    </w:p>
    <w:p w:rsidR="00B25453" w:rsidRPr="00B25453" w:rsidRDefault="00B25453" w:rsidP="007724EA">
      <w:pPr>
        <w:spacing w:before="80" w:after="80" w:line="240" w:lineRule="auto"/>
        <w:ind w:firstLine="720"/>
        <w:jc w:val="both"/>
        <w:rPr>
          <w:rFonts w:ascii="Times New Roman" w:hAnsi="Times New Roman" w:cs="Times New Roman"/>
          <w:b/>
          <w:sz w:val="28"/>
          <w:szCs w:val="28"/>
        </w:rPr>
      </w:pPr>
      <w:r w:rsidRPr="00B25453">
        <w:rPr>
          <w:rFonts w:ascii="Times New Roman" w:hAnsi="Times New Roman" w:cs="Times New Roman"/>
          <w:b/>
          <w:sz w:val="28"/>
          <w:szCs w:val="28"/>
        </w:rPr>
        <w:t>3. Về tài chính:</w:t>
      </w:r>
    </w:p>
    <w:p w:rsidR="00B25453"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trườn</w:t>
      </w:r>
      <w:r w:rsidR="004006A7">
        <w:rPr>
          <w:rFonts w:ascii="Times New Roman" w:hAnsi="Times New Roman" w:cs="Times New Roman"/>
          <w:sz w:val="28"/>
          <w:szCs w:val="28"/>
        </w:rPr>
        <w:t>g</w:t>
      </w:r>
      <w:r>
        <w:rPr>
          <w:rFonts w:ascii="Times New Roman" w:hAnsi="Times New Roman" w:cs="Times New Roman"/>
          <w:sz w:val="28"/>
          <w:szCs w:val="28"/>
        </w:rPr>
        <w:t xml:space="preserve"> hợp cần thiết, Bộ Công an, Ủy ban nhân dân tỉnh, thành phố trực thuộc trung ương xây dựng dự toán kinh phí tổ chức thực hiện các hoạt động như tuyên truyền phổ biến pháp luật, xây dựng phần mềm cơ sở dữ liệu, ứng dụng công nghệ thông tin… trình cấp có thẩm quyền xem xét, bố trí kinh phí thực hiện.</w:t>
      </w:r>
    </w:p>
    <w:p w:rsidR="005B0375" w:rsidRPr="005B0375" w:rsidRDefault="00B25453" w:rsidP="007724EA">
      <w:pPr>
        <w:spacing w:before="80" w:after="8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4.</w:t>
      </w:r>
      <w:r w:rsidR="005B0375">
        <w:rPr>
          <w:rFonts w:ascii="Times New Roman" w:hAnsi="Times New Roman" w:cs="Times New Roman"/>
          <w:b/>
          <w:sz w:val="28"/>
          <w:szCs w:val="28"/>
        </w:rPr>
        <w:t xml:space="preserve"> </w:t>
      </w:r>
      <w:r w:rsidR="005B0375" w:rsidRPr="00B25453">
        <w:rPr>
          <w:rFonts w:ascii="Times New Roman" w:hAnsi="Times New Roman" w:cs="Times New Roman"/>
          <w:b/>
          <w:sz w:val="28"/>
          <w:szCs w:val="28"/>
        </w:rPr>
        <w:t>Thời gian dự kiến trình Thủ tướng Chính phủ ký ban hàn</w:t>
      </w:r>
      <w:r w:rsidRPr="00B25453">
        <w:rPr>
          <w:rFonts w:ascii="Times New Roman" w:hAnsi="Times New Roman" w:cs="Times New Roman"/>
          <w:b/>
          <w:sz w:val="28"/>
          <w:szCs w:val="28"/>
        </w:rPr>
        <w:t>h</w:t>
      </w:r>
      <w:r>
        <w:rPr>
          <w:rFonts w:ascii="Times New Roman" w:hAnsi="Times New Roman" w:cs="Times New Roman"/>
          <w:sz w:val="28"/>
          <w:szCs w:val="28"/>
        </w:rPr>
        <w:t>: Tháng 3 năm 2026</w:t>
      </w:r>
      <w:r w:rsidR="005B0375">
        <w:rPr>
          <w:rFonts w:ascii="Times New Roman" w:hAnsi="Times New Roman" w:cs="Times New Roman"/>
          <w:sz w:val="28"/>
          <w:szCs w:val="28"/>
        </w:rPr>
        <w:t>.</w:t>
      </w:r>
    </w:p>
    <w:p w:rsidR="00C52EBE" w:rsidRPr="00B25453" w:rsidRDefault="00C52EBE" w:rsidP="007724EA">
      <w:pPr>
        <w:spacing w:before="80" w:after="80" w:line="240" w:lineRule="auto"/>
        <w:ind w:firstLine="720"/>
        <w:jc w:val="both"/>
        <w:rPr>
          <w:rFonts w:ascii="Times New Roman" w:hAnsi="Times New Roman" w:cs="Times New Roman"/>
          <w:sz w:val="28"/>
          <w:szCs w:val="28"/>
        </w:rPr>
      </w:pPr>
      <w:r w:rsidRPr="006F6A0D">
        <w:rPr>
          <w:rFonts w:ascii="Times New Roman" w:hAnsi="Times New Roman" w:cs="Times New Roman"/>
          <w:b/>
          <w:sz w:val="28"/>
          <w:szCs w:val="28"/>
        </w:rPr>
        <w:t xml:space="preserve">VII. NHỮNG VẤN ĐỀ XIN Ý KIẾN: </w:t>
      </w:r>
      <w:r w:rsidRPr="00B25453">
        <w:rPr>
          <w:rFonts w:ascii="Times New Roman" w:hAnsi="Times New Roman" w:cs="Times New Roman"/>
          <w:sz w:val="28"/>
          <w:szCs w:val="28"/>
        </w:rPr>
        <w:t>Không</w:t>
      </w:r>
      <w:r w:rsidR="005B0375" w:rsidRPr="00B25453">
        <w:rPr>
          <w:rFonts w:ascii="Times New Roman" w:hAnsi="Times New Roman" w:cs="Times New Roman"/>
          <w:sz w:val="28"/>
          <w:szCs w:val="28"/>
        </w:rPr>
        <w:t xml:space="preserve"> có</w:t>
      </w:r>
      <w:r w:rsidRPr="00B25453">
        <w:rPr>
          <w:rFonts w:ascii="Times New Roman" w:hAnsi="Times New Roman" w:cs="Times New Roman"/>
          <w:sz w:val="28"/>
          <w:szCs w:val="28"/>
        </w:rPr>
        <w:t>.</w:t>
      </w:r>
    </w:p>
    <w:p w:rsidR="00C52EBE" w:rsidRPr="006F6A0D" w:rsidRDefault="00C52EBE" w:rsidP="007724EA">
      <w:pPr>
        <w:spacing w:before="80" w:after="80" w:line="240" w:lineRule="auto"/>
        <w:ind w:firstLine="720"/>
        <w:jc w:val="both"/>
        <w:rPr>
          <w:rFonts w:ascii="Times New Roman" w:hAnsi="Times New Roman" w:cs="Times New Roman"/>
          <w:sz w:val="28"/>
          <w:szCs w:val="28"/>
        </w:rPr>
      </w:pPr>
      <w:r w:rsidRPr="006F6A0D">
        <w:rPr>
          <w:rFonts w:ascii="Times New Roman" w:hAnsi="Times New Roman" w:cs="Times New Roman"/>
          <w:sz w:val="28"/>
          <w:szCs w:val="28"/>
        </w:rPr>
        <w:lastRenderedPageBreak/>
        <w:t>Trên đây là Tờ trình dự thảo Quyết định</w:t>
      </w:r>
      <w:r w:rsidR="00B25453">
        <w:rPr>
          <w:rFonts w:ascii="Times New Roman" w:hAnsi="Times New Roman" w:cs="Times New Roman"/>
          <w:sz w:val="28"/>
          <w:szCs w:val="28"/>
        </w:rPr>
        <w:t xml:space="preserve"> sửa đổi, bổ sung một số điều của Quyết định số 09/2023/QĐ-TTg ngày 12/4/2023 của Thủ tướng Chính phủ quy định trình tự, thủ tục, thẩm quyền, cấp và quản lý thẻ đi lại doanh nhân APEC, </w:t>
      </w:r>
      <w:r w:rsidRPr="006F6A0D">
        <w:rPr>
          <w:rFonts w:ascii="Times New Roman" w:hAnsi="Times New Roman" w:cs="Times New Roman"/>
          <w:sz w:val="28"/>
          <w:szCs w:val="28"/>
        </w:rPr>
        <w:t>Bộ Công an kính trình Thủ tướng Chính phủ xem xét, quyết định./ .</w:t>
      </w:r>
    </w:p>
    <w:p w:rsidR="00330EA9" w:rsidRPr="00330EA9" w:rsidRDefault="00C52EBE" w:rsidP="00330EA9">
      <w:pPr>
        <w:spacing w:after="0" w:line="264" w:lineRule="auto"/>
        <w:ind w:firstLine="720"/>
        <w:jc w:val="both"/>
        <w:rPr>
          <w:rFonts w:ascii="Times New Roman" w:hAnsi="Times New Roman"/>
          <w:i/>
          <w:sz w:val="28"/>
          <w:szCs w:val="28"/>
        </w:rPr>
      </w:pPr>
      <w:r w:rsidRPr="006F6A0D">
        <w:rPr>
          <w:rFonts w:ascii="Times New Roman" w:hAnsi="Times New Roman" w:cs="Times New Roman"/>
          <w:sz w:val="28"/>
          <w:szCs w:val="28"/>
        </w:rPr>
        <w:t>(</w:t>
      </w:r>
      <w:r w:rsidRPr="006F6A0D">
        <w:rPr>
          <w:rFonts w:ascii="Times New Roman" w:hAnsi="Times New Roman" w:cs="Times New Roman"/>
          <w:i/>
          <w:sz w:val="28"/>
          <w:szCs w:val="28"/>
        </w:rPr>
        <w:t>Xin gửi kèm theo</w:t>
      </w:r>
      <w:r w:rsidR="00343FED">
        <w:rPr>
          <w:rFonts w:ascii="Times New Roman" w:hAnsi="Times New Roman" w:cs="Times New Roman"/>
          <w:i/>
          <w:sz w:val="28"/>
          <w:szCs w:val="28"/>
        </w:rPr>
        <w:t xml:space="preserve"> các dự thảo</w:t>
      </w:r>
      <w:r w:rsidRPr="006F6A0D">
        <w:rPr>
          <w:rFonts w:ascii="Times New Roman" w:hAnsi="Times New Roman" w:cs="Times New Roman"/>
          <w:i/>
          <w:sz w:val="28"/>
          <w:szCs w:val="28"/>
        </w:rPr>
        <w:t>:</w:t>
      </w:r>
      <w:r w:rsidR="00330EA9">
        <w:rPr>
          <w:rFonts w:ascii="Times New Roman" w:hAnsi="Times New Roman" w:cs="Times New Roman"/>
          <w:i/>
          <w:sz w:val="28"/>
          <w:szCs w:val="28"/>
        </w:rPr>
        <w:t xml:space="preserve"> Tờ trình, dự thảo </w:t>
      </w:r>
      <w:r w:rsidR="00B25453" w:rsidRPr="00B25453">
        <w:rPr>
          <w:rFonts w:ascii="Times New Roman" w:hAnsi="Times New Roman" w:cs="Times New Roman"/>
          <w:i/>
          <w:sz w:val="28"/>
          <w:szCs w:val="28"/>
        </w:rPr>
        <w:t>Quyết định sửa đổi, bổ sung một số điều của Quyết định số 09/2023/QĐ-TTg ngày 12/4/2023 của Thủ tướng Chính phủ quy định trình tự, thủ tục, thẩm quyền, cấp và quản lý thẻ đi lạ</w:t>
      </w:r>
      <w:r w:rsidR="00343FED">
        <w:rPr>
          <w:rFonts w:ascii="Times New Roman" w:hAnsi="Times New Roman" w:cs="Times New Roman"/>
          <w:i/>
          <w:sz w:val="28"/>
          <w:szCs w:val="28"/>
        </w:rPr>
        <w:t>i doanh nhân APEC, Bảng so sánh, thuyết minh</w:t>
      </w:r>
      <w:r w:rsidR="00330EA9">
        <w:rPr>
          <w:rFonts w:ascii="Times New Roman" w:hAnsi="Times New Roman"/>
          <w:i/>
          <w:sz w:val="28"/>
          <w:szCs w:val="28"/>
        </w:rPr>
        <w:t xml:space="preserve">).  </w:t>
      </w:r>
    </w:p>
    <w:p w:rsidR="00B86E76" w:rsidRPr="006F6A0D" w:rsidRDefault="00B86E76" w:rsidP="006B7BC3">
      <w:pPr>
        <w:spacing w:before="120" w:after="0" w:line="340" w:lineRule="exact"/>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6F6A0D" w:rsidRPr="006F6A0D" w:rsidTr="001A0979">
        <w:tc>
          <w:tcPr>
            <w:tcW w:w="4503" w:type="dxa"/>
          </w:tcPr>
          <w:p w:rsidR="00524843" w:rsidRPr="006F6A0D" w:rsidRDefault="00524843" w:rsidP="00524843">
            <w:pPr>
              <w:jc w:val="both"/>
              <w:rPr>
                <w:rFonts w:ascii="Times New Roman" w:hAnsi="Times New Roman" w:cs="Times New Roman"/>
                <w:b/>
                <w:i/>
                <w:sz w:val="24"/>
                <w:szCs w:val="28"/>
              </w:rPr>
            </w:pPr>
            <w:r w:rsidRPr="006F6A0D">
              <w:rPr>
                <w:rFonts w:ascii="Times New Roman" w:hAnsi="Times New Roman" w:cs="Times New Roman"/>
                <w:b/>
                <w:i/>
                <w:sz w:val="24"/>
                <w:szCs w:val="28"/>
              </w:rPr>
              <w:t>Nơi nhận:</w:t>
            </w:r>
          </w:p>
          <w:p w:rsidR="00524843" w:rsidRDefault="00524843" w:rsidP="00524843">
            <w:pPr>
              <w:jc w:val="both"/>
              <w:rPr>
                <w:rFonts w:ascii="Times New Roman" w:hAnsi="Times New Roman" w:cs="Times New Roman"/>
                <w:szCs w:val="28"/>
              </w:rPr>
            </w:pPr>
            <w:r w:rsidRPr="006F6A0D">
              <w:rPr>
                <w:rFonts w:ascii="Times New Roman" w:hAnsi="Times New Roman" w:cs="Times New Roman"/>
                <w:szCs w:val="28"/>
              </w:rPr>
              <w:t>- Như trên;</w:t>
            </w:r>
          </w:p>
          <w:p w:rsidR="001A0979" w:rsidRPr="006F6A0D" w:rsidRDefault="001A0979" w:rsidP="00524843">
            <w:pPr>
              <w:jc w:val="both"/>
              <w:rPr>
                <w:rFonts w:ascii="Times New Roman" w:hAnsi="Times New Roman" w:cs="Times New Roman"/>
                <w:szCs w:val="28"/>
              </w:rPr>
            </w:pPr>
            <w:r>
              <w:rPr>
                <w:rFonts w:ascii="Times New Roman" w:hAnsi="Times New Roman" w:cs="Times New Roman"/>
                <w:szCs w:val="28"/>
              </w:rPr>
              <w:t>- Đ/c Bộ trưởng (để b/c);</w:t>
            </w:r>
          </w:p>
          <w:p w:rsidR="00524843" w:rsidRPr="006F6A0D" w:rsidRDefault="00524843" w:rsidP="00524843">
            <w:pPr>
              <w:jc w:val="both"/>
              <w:rPr>
                <w:rFonts w:ascii="Times New Roman" w:hAnsi="Times New Roman" w:cs="Times New Roman"/>
                <w:szCs w:val="28"/>
              </w:rPr>
            </w:pPr>
            <w:r w:rsidRPr="006F6A0D">
              <w:rPr>
                <w:rFonts w:ascii="Times New Roman" w:hAnsi="Times New Roman" w:cs="Times New Roman"/>
                <w:szCs w:val="28"/>
              </w:rPr>
              <w:t>- Văn phòng Chính phủ;</w:t>
            </w:r>
          </w:p>
          <w:p w:rsidR="00524843" w:rsidRPr="006F6A0D" w:rsidRDefault="00524843" w:rsidP="00524843">
            <w:pPr>
              <w:jc w:val="both"/>
              <w:rPr>
                <w:rFonts w:ascii="Times New Roman" w:hAnsi="Times New Roman" w:cs="Times New Roman"/>
                <w:szCs w:val="28"/>
              </w:rPr>
            </w:pPr>
            <w:r w:rsidRPr="006F6A0D">
              <w:rPr>
                <w:rFonts w:ascii="Times New Roman" w:hAnsi="Times New Roman" w:cs="Times New Roman"/>
                <w:szCs w:val="28"/>
              </w:rPr>
              <w:t xml:space="preserve">- Lưu: VT, </w:t>
            </w:r>
            <w:r w:rsidR="006D6475">
              <w:rPr>
                <w:rFonts w:ascii="Times New Roman" w:hAnsi="Times New Roman" w:cs="Times New Roman"/>
                <w:szCs w:val="28"/>
              </w:rPr>
              <w:t>QLXNC</w:t>
            </w:r>
            <w:r w:rsidRPr="006F6A0D">
              <w:rPr>
                <w:rFonts w:ascii="Times New Roman" w:hAnsi="Times New Roman" w:cs="Times New Roman"/>
                <w:szCs w:val="28"/>
              </w:rPr>
              <w:t>.</w:t>
            </w:r>
            <w:r w:rsidR="001A0979">
              <w:rPr>
                <w:rFonts w:ascii="Times New Roman" w:hAnsi="Times New Roman" w:cs="Times New Roman"/>
                <w:szCs w:val="28"/>
              </w:rPr>
              <w:t>PL.</w:t>
            </w:r>
            <w:r w:rsidRPr="006F6A0D">
              <w:rPr>
                <w:rFonts w:ascii="Times New Roman" w:hAnsi="Times New Roman" w:cs="Times New Roman"/>
                <w:szCs w:val="28"/>
              </w:rPr>
              <w:t xml:space="preserve"> </w:t>
            </w:r>
          </w:p>
          <w:p w:rsidR="00524843" w:rsidRPr="006F6A0D" w:rsidRDefault="00524843" w:rsidP="00524843">
            <w:pPr>
              <w:jc w:val="both"/>
              <w:rPr>
                <w:rFonts w:ascii="Times New Roman" w:hAnsi="Times New Roman" w:cs="Times New Roman"/>
                <w:sz w:val="28"/>
                <w:szCs w:val="28"/>
              </w:rPr>
            </w:pPr>
          </w:p>
        </w:tc>
        <w:tc>
          <w:tcPr>
            <w:tcW w:w="4785" w:type="dxa"/>
          </w:tcPr>
          <w:p w:rsidR="00524843" w:rsidRPr="006F6A0D" w:rsidRDefault="001A0979" w:rsidP="00673A2A">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00524843" w:rsidRPr="006F6A0D">
              <w:rPr>
                <w:rFonts w:ascii="Times New Roman" w:hAnsi="Times New Roman" w:cs="Times New Roman"/>
                <w:b/>
                <w:sz w:val="28"/>
                <w:szCs w:val="28"/>
              </w:rPr>
              <w:t>BỘ TRƯỞNG</w:t>
            </w:r>
          </w:p>
          <w:p w:rsidR="00524843" w:rsidRPr="006F6A0D" w:rsidRDefault="001A0979" w:rsidP="00673A2A">
            <w:pPr>
              <w:jc w:val="center"/>
              <w:rPr>
                <w:rFonts w:ascii="Times New Roman" w:hAnsi="Times New Roman" w:cs="Times New Roman"/>
                <w:b/>
                <w:sz w:val="28"/>
                <w:szCs w:val="28"/>
              </w:rPr>
            </w:pPr>
            <w:r>
              <w:rPr>
                <w:rFonts w:ascii="Times New Roman" w:hAnsi="Times New Roman" w:cs="Times New Roman"/>
                <w:b/>
                <w:sz w:val="28"/>
                <w:szCs w:val="28"/>
              </w:rPr>
              <w:t>THỨ TRƯỞNG</w:t>
            </w:r>
          </w:p>
          <w:p w:rsidR="00524843" w:rsidRDefault="00524843" w:rsidP="00673A2A">
            <w:pPr>
              <w:jc w:val="center"/>
              <w:rPr>
                <w:rFonts w:ascii="Times New Roman" w:hAnsi="Times New Roman" w:cs="Times New Roman"/>
                <w:b/>
                <w:sz w:val="28"/>
                <w:szCs w:val="28"/>
              </w:rPr>
            </w:pPr>
          </w:p>
          <w:p w:rsidR="001A0979" w:rsidRPr="006F6A0D" w:rsidRDefault="001A0979" w:rsidP="00673A2A">
            <w:pPr>
              <w:jc w:val="center"/>
              <w:rPr>
                <w:rFonts w:ascii="Times New Roman" w:hAnsi="Times New Roman" w:cs="Times New Roman"/>
                <w:b/>
                <w:sz w:val="28"/>
                <w:szCs w:val="28"/>
              </w:rPr>
            </w:pPr>
          </w:p>
          <w:p w:rsidR="00524843" w:rsidRPr="006F6A0D" w:rsidRDefault="00524843" w:rsidP="00673A2A">
            <w:pPr>
              <w:jc w:val="center"/>
              <w:rPr>
                <w:rFonts w:ascii="Times New Roman" w:hAnsi="Times New Roman" w:cs="Times New Roman"/>
                <w:b/>
                <w:sz w:val="28"/>
                <w:szCs w:val="28"/>
              </w:rPr>
            </w:pPr>
          </w:p>
          <w:p w:rsidR="00673A2A" w:rsidRPr="006F6A0D" w:rsidRDefault="00673A2A" w:rsidP="00673A2A">
            <w:pPr>
              <w:jc w:val="center"/>
              <w:rPr>
                <w:rFonts w:ascii="Times New Roman" w:hAnsi="Times New Roman" w:cs="Times New Roman"/>
                <w:b/>
                <w:sz w:val="28"/>
                <w:szCs w:val="28"/>
              </w:rPr>
            </w:pPr>
          </w:p>
          <w:p w:rsidR="00673A2A" w:rsidRPr="006F6A0D" w:rsidRDefault="00673A2A" w:rsidP="00673A2A">
            <w:pPr>
              <w:jc w:val="center"/>
              <w:rPr>
                <w:rFonts w:ascii="Times New Roman" w:hAnsi="Times New Roman" w:cs="Times New Roman"/>
                <w:b/>
                <w:sz w:val="28"/>
                <w:szCs w:val="28"/>
              </w:rPr>
            </w:pPr>
          </w:p>
          <w:p w:rsidR="00524843" w:rsidRPr="006F6A0D" w:rsidRDefault="001A0979" w:rsidP="00673A2A">
            <w:pPr>
              <w:jc w:val="center"/>
              <w:rPr>
                <w:rFonts w:ascii="Times New Roman" w:hAnsi="Times New Roman" w:cs="Times New Roman"/>
                <w:sz w:val="28"/>
                <w:szCs w:val="28"/>
              </w:rPr>
            </w:pPr>
            <w:r>
              <w:rPr>
                <w:rFonts w:ascii="Times New Roman" w:hAnsi="Times New Roman" w:cs="Times New Roman"/>
                <w:b/>
                <w:sz w:val="28"/>
                <w:szCs w:val="28"/>
              </w:rPr>
              <w:t>Thượng tướng Phạm Thế Tùng</w:t>
            </w:r>
          </w:p>
        </w:tc>
      </w:tr>
    </w:tbl>
    <w:p w:rsidR="00DF2AC9" w:rsidRPr="006F6A0D" w:rsidRDefault="00DF2AC9" w:rsidP="00056A36">
      <w:pPr>
        <w:spacing w:before="240" w:after="0" w:line="240" w:lineRule="auto"/>
        <w:jc w:val="both"/>
        <w:rPr>
          <w:rFonts w:ascii="Times New Roman" w:hAnsi="Times New Roman" w:cs="Times New Roman"/>
          <w:b/>
          <w:sz w:val="28"/>
          <w:szCs w:val="28"/>
        </w:rPr>
      </w:pPr>
    </w:p>
    <w:sectPr w:rsidR="00DF2AC9" w:rsidRPr="006F6A0D" w:rsidSect="00E66430">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E0" w:rsidRDefault="000741E0" w:rsidP="00B70EC5">
      <w:pPr>
        <w:spacing w:after="0" w:line="240" w:lineRule="auto"/>
      </w:pPr>
      <w:r>
        <w:separator/>
      </w:r>
    </w:p>
  </w:endnote>
  <w:endnote w:type="continuationSeparator" w:id="0">
    <w:p w:rsidR="000741E0" w:rsidRDefault="000741E0" w:rsidP="00B7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E0" w:rsidRDefault="000741E0" w:rsidP="00B70EC5">
      <w:pPr>
        <w:spacing w:after="0" w:line="240" w:lineRule="auto"/>
      </w:pPr>
      <w:r>
        <w:separator/>
      </w:r>
    </w:p>
  </w:footnote>
  <w:footnote w:type="continuationSeparator" w:id="0">
    <w:p w:rsidR="000741E0" w:rsidRDefault="000741E0" w:rsidP="00B7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72475"/>
      <w:docPartObj>
        <w:docPartGallery w:val="Page Numbers (Top of Page)"/>
        <w:docPartUnique/>
      </w:docPartObj>
    </w:sdtPr>
    <w:sdtEndPr>
      <w:rPr>
        <w:rFonts w:ascii="Times New Roman" w:hAnsi="Times New Roman" w:cs="Times New Roman"/>
        <w:noProof/>
        <w:sz w:val="28"/>
        <w:szCs w:val="28"/>
      </w:rPr>
    </w:sdtEndPr>
    <w:sdtContent>
      <w:p w:rsidR="00B95B89" w:rsidRDefault="00B95B89">
        <w:pPr>
          <w:pStyle w:val="Header"/>
          <w:jc w:val="center"/>
        </w:pPr>
        <w:r w:rsidRPr="00330EA9">
          <w:rPr>
            <w:rFonts w:ascii="Times New Roman" w:hAnsi="Times New Roman" w:cs="Times New Roman"/>
            <w:sz w:val="28"/>
            <w:szCs w:val="28"/>
          </w:rPr>
          <w:fldChar w:fldCharType="begin"/>
        </w:r>
        <w:r w:rsidRPr="00330EA9">
          <w:rPr>
            <w:rFonts w:ascii="Times New Roman" w:hAnsi="Times New Roman" w:cs="Times New Roman"/>
            <w:sz w:val="28"/>
            <w:szCs w:val="28"/>
          </w:rPr>
          <w:instrText xml:space="preserve"> PAGE   \* MERGEFORMAT </w:instrText>
        </w:r>
        <w:r w:rsidRPr="00330EA9">
          <w:rPr>
            <w:rFonts w:ascii="Times New Roman" w:hAnsi="Times New Roman" w:cs="Times New Roman"/>
            <w:sz w:val="28"/>
            <w:szCs w:val="28"/>
          </w:rPr>
          <w:fldChar w:fldCharType="separate"/>
        </w:r>
        <w:r w:rsidR="00A822F0">
          <w:rPr>
            <w:rFonts w:ascii="Times New Roman" w:hAnsi="Times New Roman" w:cs="Times New Roman"/>
            <w:noProof/>
            <w:sz w:val="28"/>
            <w:szCs w:val="28"/>
          </w:rPr>
          <w:t>10</w:t>
        </w:r>
        <w:r w:rsidRPr="00330EA9">
          <w:rPr>
            <w:rFonts w:ascii="Times New Roman" w:hAnsi="Times New Roman" w:cs="Times New Roman"/>
            <w:noProof/>
            <w:sz w:val="28"/>
            <w:szCs w:val="28"/>
          </w:rPr>
          <w:fldChar w:fldCharType="end"/>
        </w:r>
      </w:p>
    </w:sdtContent>
  </w:sdt>
  <w:p w:rsidR="00B95B89" w:rsidRDefault="00B95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BE6"/>
    <w:multiLevelType w:val="hybridMultilevel"/>
    <w:tmpl w:val="132489B4"/>
    <w:lvl w:ilvl="0" w:tplc="844CF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BC1A9C"/>
    <w:multiLevelType w:val="hybridMultilevel"/>
    <w:tmpl w:val="553A2A7C"/>
    <w:lvl w:ilvl="0" w:tplc="8FB6B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214D80"/>
    <w:multiLevelType w:val="hybridMultilevel"/>
    <w:tmpl w:val="697C3620"/>
    <w:lvl w:ilvl="0" w:tplc="41E42DE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9A628A"/>
    <w:multiLevelType w:val="hybridMultilevel"/>
    <w:tmpl w:val="7682E292"/>
    <w:lvl w:ilvl="0" w:tplc="38547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34423B"/>
    <w:multiLevelType w:val="hybridMultilevel"/>
    <w:tmpl w:val="F9748382"/>
    <w:lvl w:ilvl="0" w:tplc="406CC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233181"/>
    <w:multiLevelType w:val="hybridMultilevel"/>
    <w:tmpl w:val="FCC6041E"/>
    <w:lvl w:ilvl="0" w:tplc="E4624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B629A4"/>
    <w:multiLevelType w:val="hybridMultilevel"/>
    <w:tmpl w:val="6D96AEC0"/>
    <w:lvl w:ilvl="0" w:tplc="3E70DE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82"/>
    <w:rsid w:val="000019BF"/>
    <w:rsid w:val="00002324"/>
    <w:rsid w:val="000214D9"/>
    <w:rsid w:val="000254CB"/>
    <w:rsid w:val="00043E8E"/>
    <w:rsid w:val="0005617F"/>
    <w:rsid w:val="00056A36"/>
    <w:rsid w:val="00061336"/>
    <w:rsid w:val="00067707"/>
    <w:rsid w:val="00071C25"/>
    <w:rsid w:val="000741E0"/>
    <w:rsid w:val="00080CE9"/>
    <w:rsid w:val="00093774"/>
    <w:rsid w:val="00096484"/>
    <w:rsid w:val="000A6E40"/>
    <w:rsid w:val="000A7A6B"/>
    <w:rsid w:val="000B2950"/>
    <w:rsid w:val="000D4EF8"/>
    <w:rsid w:val="000E2F0B"/>
    <w:rsid w:val="000E75A4"/>
    <w:rsid w:val="000F328D"/>
    <w:rsid w:val="0010153C"/>
    <w:rsid w:val="00105CDE"/>
    <w:rsid w:val="0013118A"/>
    <w:rsid w:val="0013351D"/>
    <w:rsid w:val="001465BE"/>
    <w:rsid w:val="00152AA8"/>
    <w:rsid w:val="001735A9"/>
    <w:rsid w:val="0018135D"/>
    <w:rsid w:val="001A0979"/>
    <w:rsid w:val="001A7E64"/>
    <w:rsid w:val="001B10AE"/>
    <w:rsid w:val="001B215C"/>
    <w:rsid w:val="001C6B37"/>
    <w:rsid w:val="001D1E09"/>
    <w:rsid w:val="001D49D5"/>
    <w:rsid w:val="001E3496"/>
    <w:rsid w:val="001F13EB"/>
    <w:rsid w:val="00206CFD"/>
    <w:rsid w:val="002121F4"/>
    <w:rsid w:val="00212DBD"/>
    <w:rsid w:val="0022043D"/>
    <w:rsid w:val="00231160"/>
    <w:rsid w:val="00235EBB"/>
    <w:rsid w:val="00242541"/>
    <w:rsid w:val="00247BB2"/>
    <w:rsid w:val="00253F9D"/>
    <w:rsid w:val="00255E88"/>
    <w:rsid w:val="00281CBB"/>
    <w:rsid w:val="002916EA"/>
    <w:rsid w:val="002A4440"/>
    <w:rsid w:val="002B5B6A"/>
    <w:rsid w:val="002C1ED0"/>
    <w:rsid w:val="002D64E2"/>
    <w:rsid w:val="002E37E3"/>
    <w:rsid w:val="00301D6C"/>
    <w:rsid w:val="0032034D"/>
    <w:rsid w:val="003211A9"/>
    <w:rsid w:val="00330EA9"/>
    <w:rsid w:val="00333BCC"/>
    <w:rsid w:val="00334984"/>
    <w:rsid w:val="00337A22"/>
    <w:rsid w:val="00343FED"/>
    <w:rsid w:val="00354637"/>
    <w:rsid w:val="00361226"/>
    <w:rsid w:val="00392C6D"/>
    <w:rsid w:val="003B29D0"/>
    <w:rsid w:val="003B5CE8"/>
    <w:rsid w:val="003C4210"/>
    <w:rsid w:val="003C4BB8"/>
    <w:rsid w:val="003F60F9"/>
    <w:rsid w:val="004006A7"/>
    <w:rsid w:val="004267A4"/>
    <w:rsid w:val="00430B37"/>
    <w:rsid w:val="00436FC2"/>
    <w:rsid w:val="00446DAA"/>
    <w:rsid w:val="004827A2"/>
    <w:rsid w:val="004B2B41"/>
    <w:rsid w:val="004E11E2"/>
    <w:rsid w:val="004F2F58"/>
    <w:rsid w:val="00506ECE"/>
    <w:rsid w:val="00513D1A"/>
    <w:rsid w:val="005157EA"/>
    <w:rsid w:val="00524843"/>
    <w:rsid w:val="0053067A"/>
    <w:rsid w:val="005330A3"/>
    <w:rsid w:val="00533B7B"/>
    <w:rsid w:val="005442C5"/>
    <w:rsid w:val="00547934"/>
    <w:rsid w:val="0056168C"/>
    <w:rsid w:val="00571C76"/>
    <w:rsid w:val="005729CD"/>
    <w:rsid w:val="00582346"/>
    <w:rsid w:val="00582FC0"/>
    <w:rsid w:val="005833B4"/>
    <w:rsid w:val="005A0C1F"/>
    <w:rsid w:val="005B0375"/>
    <w:rsid w:val="005B6D73"/>
    <w:rsid w:val="005C4302"/>
    <w:rsid w:val="005C4B51"/>
    <w:rsid w:val="005C6C3D"/>
    <w:rsid w:val="005D5075"/>
    <w:rsid w:val="005E132A"/>
    <w:rsid w:val="005E32DD"/>
    <w:rsid w:val="005E4F7B"/>
    <w:rsid w:val="005E7B56"/>
    <w:rsid w:val="005F444D"/>
    <w:rsid w:val="005F68A1"/>
    <w:rsid w:val="0060102E"/>
    <w:rsid w:val="00632481"/>
    <w:rsid w:val="006403D9"/>
    <w:rsid w:val="00670179"/>
    <w:rsid w:val="00673A2A"/>
    <w:rsid w:val="006918CF"/>
    <w:rsid w:val="006952AF"/>
    <w:rsid w:val="006B7BC3"/>
    <w:rsid w:val="006C0C88"/>
    <w:rsid w:val="006C6537"/>
    <w:rsid w:val="006D6475"/>
    <w:rsid w:val="006E26B0"/>
    <w:rsid w:val="006F06B5"/>
    <w:rsid w:val="006F6A0D"/>
    <w:rsid w:val="00707E42"/>
    <w:rsid w:val="007114F3"/>
    <w:rsid w:val="00713EF4"/>
    <w:rsid w:val="007158C2"/>
    <w:rsid w:val="00726C32"/>
    <w:rsid w:val="00761BA7"/>
    <w:rsid w:val="00761D39"/>
    <w:rsid w:val="007620F0"/>
    <w:rsid w:val="007724EA"/>
    <w:rsid w:val="00790F34"/>
    <w:rsid w:val="00793FA0"/>
    <w:rsid w:val="007959A7"/>
    <w:rsid w:val="007C341A"/>
    <w:rsid w:val="007D1231"/>
    <w:rsid w:val="007E357E"/>
    <w:rsid w:val="007F3D67"/>
    <w:rsid w:val="007F795A"/>
    <w:rsid w:val="00843083"/>
    <w:rsid w:val="00860009"/>
    <w:rsid w:val="00860291"/>
    <w:rsid w:val="00882F60"/>
    <w:rsid w:val="00895168"/>
    <w:rsid w:val="008A36DB"/>
    <w:rsid w:val="00900A86"/>
    <w:rsid w:val="00904278"/>
    <w:rsid w:val="00904CC3"/>
    <w:rsid w:val="00915B37"/>
    <w:rsid w:val="00920CEC"/>
    <w:rsid w:val="009353EE"/>
    <w:rsid w:val="00947D1C"/>
    <w:rsid w:val="00997A08"/>
    <w:rsid w:val="009B3C59"/>
    <w:rsid w:val="009B623F"/>
    <w:rsid w:val="009B683B"/>
    <w:rsid w:val="00A3325A"/>
    <w:rsid w:val="00A51226"/>
    <w:rsid w:val="00A52F71"/>
    <w:rsid w:val="00A66FA2"/>
    <w:rsid w:val="00A70A1B"/>
    <w:rsid w:val="00A81AF4"/>
    <w:rsid w:val="00A822F0"/>
    <w:rsid w:val="00A9112B"/>
    <w:rsid w:val="00A97549"/>
    <w:rsid w:val="00AA496C"/>
    <w:rsid w:val="00AA7952"/>
    <w:rsid w:val="00B0750A"/>
    <w:rsid w:val="00B07977"/>
    <w:rsid w:val="00B1321F"/>
    <w:rsid w:val="00B25453"/>
    <w:rsid w:val="00B30955"/>
    <w:rsid w:val="00B404ED"/>
    <w:rsid w:val="00B436DB"/>
    <w:rsid w:val="00B5443A"/>
    <w:rsid w:val="00B666C5"/>
    <w:rsid w:val="00B70EC5"/>
    <w:rsid w:val="00B86E76"/>
    <w:rsid w:val="00B871D4"/>
    <w:rsid w:val="00B95B89"/>
    <w:rsid w:val="00B9648D"/>
    <w:rsid w:val="00BA0675"/>
    <w:rsid w:val="00BA0857"/>
    <w:rsid w:val="00BB3150"/>
    <w:rsid w:val="00BC1584"/>
    <w:rsid w:val="00BC1666"/>
    <w:rsid w:val="00BD3018"/>
    <w:rsid w:val="00BD5E83"/>
    <w:rsid w:val="00BE1C3C"/>
    <w:rsid w:val="00BE6BDA"/>
    <w:rsid w:val="00C14D65"/>
    <w:rsid w:val="00C52EBE"/>
    <w:rsid w:val="00C722FB"/>
    <w:rsid w:val="00C73EF7"/>
    <w:rsid w:val="00C80B3B"/>
    <w:rsid w:val="00C84BC7"/>
    <w:rsid w:val="00C90EA7"/>
    <w:rsid w:val="00CA2D16"/>
    <w:rsid w:val="00CD493E"/>
    <w:rsid w:val="00CE764F"/>
    <w:rsid w:val="00D20820"/>
    <w:rsid w:val="00D327C2"/>
    <w:rsid w:val="00D67982"/>
    <w:rsid w:val="00D76CF5"/>
    <w:rsid w:val="00D96466"/>
    <w:rsid w:val="00DA43A9"/>
    <w:rsid w:val="00DC5F50"/>
    <w:rsid w:val="00DC639B"/>
    <w:rsid w:val="00DD0884"/>
    <w:rsid w:val="00DE34ED"/>
    <w:rsid w:val="00DE501E"/>
    <w:rsid w:val="00DF2AC9"/>
    <w:rsid w:val="00DF407C"/>
    <w:rsid w:val="00E022AC"/>
    <w:rsid w:val="00E26074"/>
    <w:rsid w:val="00E522CB"/>
    <w:rsid w:val="00E6145E"/>
    <w:rsid w:val="00E64B25"/>
    <w:rsid w:val="00E66430"/>
    <w:rsid w:val="00E72357"/>
    <w:rsid w:val="00E85412"/>
    <w:rsid w:val="00E85EA0"/>
    <w:rsid w:val="00E94BE5"/>
    <w:rsid w:val="00E9686F"/>
    <w:rsid w:val="00EB6498"/>
    <w:rsid w:val="00EC260D"/>
    <w:rsid w:val="00EC3574"/>
    <w:rsid w:val="00EC388E"/>
    <w:rsid w:val="00ED799D"/>
    <w:rsid w:val="00EE14AF"/>
    <w:rsid w:val="00EF7003"/>
    <w:rsid w:val="00EF7A1F"/>
    <w:rsid w:val="00F00216"/>
    <w:rsid w:val="00F115F0"/>
    <w:rsid w:val="00F27848"/>
    <w:rsid w:val="00F27FF7"/>
    <w:rsid w:val="00F30F38"/>
    <w:rsid w:val="00F35ABA"/>
    <w:rsid w:val="00F6035F"/>
    <w:rsid w:val="00F86B3A"/>
    <w:rsid w:val="00F93D49"/>
    <w:rsid w:val="00FA1152"/>
    <w:rsid w:val="00FA7E19"/>
    <w:rsid w:val="00FC0BDA"/>
    <w:rsid w:val="00FC0CD3"/>
    <w:rsid w:val="00FC5CC0"/>
    <w:rsid w:val="00FD57FA"/>
    <w:rsid w:val="00FE041E"/>
    <w:rsid w:val="00FE4733"/>
    <w:rsid w:val="00FF0A07"/>
    <w:rsid w:val="00FF3BD8"/>
    <w:rsid w:val="00FF3DD3"/>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FA2"/>
    <w:pPr>
      <w:ind w:left="720"/>
      <w:contextualSpacing/>
    </w:pPr>
  </w:style>
  <w:style w:type="paragraph" w:styleId="FootnoteText">
    <w:name w:val="footnote text"/>
    <w:basedOn w:val="Normal"/>
    <w:link w:val="FootnoteTextChar"/>
    <w:uiPriority w:val="99"/>
    <w:semiHidden/>
    <w:unhideWhenUsed/>
    <w:rsid w:val="00B70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EC5"/>
    <w:rPr>
      <w:sz w:val="20"/>
      <w:szCs w:val="20"/>
    </w:rPr>
  </w:style>
  <w:style w:type="character" w:styleId="FootnoteReference">
    <w:name w:val="footnote reference"/>
    <w:basedOn w:val="DefaultParagraphFont"/>
    <w:uiPriority w:val="99"/>
    <w:semiHidden/>
    <w:unhideWhenUsed/>
    <w:rsid w:val="00B70EC5"/>
    <w:rPr>
      <w:vertAlign w:val="superscript"/>
    </w:rPr>
  </w:style>
  <w:style w:type="paragraph" w:styleId="Header">
    <w:name w:val="header"/>
    <w:basedOn w:val="Normal"/>
    <w:link w:val="HeaderChar"/>
    <w:uiPriority w:val="99"/>
    <w:unhideWhenUsed/>
    <w:rsid w:val="00E6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30"/>
  </w:style>
  <w:style w:type="paragraph" w:styleId="Footer">
    <w:name w:val="footer"/>
    <w:basedOn w:val="Normal"/>
    <w:link w:val="FooterChar"/>
    <w:uiPriority w:val="99"/>
    <w:unhideWhenUsed/>
    <w:rsid w:val="00E6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30"/>
  </w:style>
  <w:style w:type="paragraph" w:styleId="BalloonText">
    <w:name w:val="Balloon Text"/>
    <w:basedOn w:val="Normal"/>
    <w:link w:val="BalloonTextChar"/>
    <w:uiPriority w:val="99"/>
    <w:semiHidden/>
    <w:unhideWhenUsed/>
    <w:rsid w:val="00056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FA2"/>
    <w:pPr>
      <w:ind w:left="720"/>
      <w:contextualSpacing/>
    </w:pPr>
  </w:style>
  <w:style w:type="paragraph" w:styleId="FootnoteText">
    <w:name w:val="footnote text"/>
    <w:basedOn w:val="Normal"/>
    <w:link w:val="FootnoteTextChar"/>
    <w:uiPriority w:val="99"/>
    <w:semiHidden/>
    <w:unhideWhenUsed/>
    <w:rsid w:val="00B70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EC5"/>
    <w:rPr>
      <w:sz w:val="20"/>
      <w:szCs w:val="20"/>
    </w:rPr>
  </w:style>
  <w:style w:type="character" w:styleId="FootnoteReference">
    <w:name w:val="footnote reference"/>
    <w:basedOn w:val="DefaultParagraphFont"/>
    <w:uiPriority w:val="99"/>
    <w:semiHidden/>
    <w:unhideWhenUsed/>
    <w:rsid w:val="00B70EC5"/>
    <w:rPr>
      <w:vertAlign w:val="superscript"/>
    </w:rPr>
  </w:style>
  <w:style w:type="paragraph" w:styleId="Header">
    <w:name w:val="header"/>
    <w:basedOn w:val="Normal"/>
    <w:link w:val="HeaderChar"/>
    <w:uiPriority w:val="99"/>
    <w:unhideWhenUsed/>
    <w:rsid w:val="00E6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30"/>
  </w:style>
  <w:style w:type="paragraph" w:styleId="Footer">
    <w:name w:val="footer"/>
    <w:basedOn w:val="Normal"/>
    <w:link w:val="FooterChar"/>
    <w:uiPriority w:val="99"/>
    <w:unhideWhenUsed/>
    <w:rsid w:val="00E6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30"/>
  </w:style>
  <w:style w:type="paragraph" w:styleId="BalloonText">
    <w:name w:val="Balloon Text"/>
    <w:basedOn w:val="Normal"/>
    <w:link w:val="BalloonTextChar"/>
    <w:uiPriority w:val="99"/>
    <w:semiHidden/>
    <w:unhideWhenUsed/>
    <w:rsid w:val="00056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5203">
      <w:bodyDiv w:val="1"/>
      <w:marLeft w:val="0"/>
      <w:marRight w:val="0"/>
      <w:marTop w:val="0"/>
      <w:marBottom w:val="0"/>
      <w:divBdr>
        <w:top w:val="none" w:sz="0" w:space="0" w:color="auto"/>
        <w:left w:val="none" w:sz="0" w:space="0" w:color="auto"/>
        <w:bottom w:val="none" w:sz="0" w:space="0" w:color="auto"/>
        <w:right w:val="none" w:sz="0" w:space="0" w:color="auto"/>
      </w:divBdr>
    </w:div>
    <w:div w:id="17854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A95D-233F-43E1-94BA-BA3CFE95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10</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P7</cp:lastModifiedBy>
  <cp:revision>37</cp:revision>
  <cp:lastPrinted>2025-09-18T08:33:00Z</cp:lastPrinted>
  <dcterms:created xsi:type="dcterms:W3CDTF">2025-09-03T03:33:00Z</dcterms:created>
  <dcterms:modified xsi:type="dcterms:W3CDTF">2025-12-05T14:38:00Z</dcterms:modified>
</cp:coreProperties>
</file>